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华文中宋" w:hAnsi="华文中宋" w:eastAsia="华文中宋" w:cs="华文中宋"/>
          <w:sz w:val="44"/>
          <w:szCs w:val="44"/>
        </w:rPr>
      </w:pPr>
      <w:r>
        <w:rPr>
          <w:rFonts w:hint="eastAsia" w:ascii="仿宋" w:hAnsi="仿宋" w:eastAsia="仿宋" w:cs="仿宋"/>
          <w:sz w:val="32"/>
          <w:szCs w:val="32"/>
        </w:rPr>
        <w:t>附件1：</w:t>
      </w:r>
    </w:p>
    <w:p>
      <w:pPr>
        <w:spacing w:before="156" w:beforeLines="50" w:after="156" w:afterLines="50"/>
        <w:jc w:val="center"/>
        <w:rPr>
          <w:rFonts w:ascii="Times New Roman" w:hAnsi="Times New Roman" w:eastAsia="方正小标宋_GBK" w:cs="Times New Roman"/>
          <w:sz w:val="40"/>
          <w:szCs w:val="44"/>
        </w:rPr>
      </w:pPr>
      <w:r>
        <w:rPr>
          <w:rFonts w:hint="eastAsia" w:ascii="Times New Roman" w:hAnsi="Times New Roman" w:eastAsia="方正小标宋_GBK" w:cs="Times New Roman"/>
          <w:sz w:val="40"/>
          <w:szCs w:val="44"/>
        </w:rPr>
        <w:t>湖北师范大学新一轮</w:t>
      </w:r>
      <w:r>
        <w:rPr>
          <w:rFonts w:ascii="Times New Roman" w:hAnsi="Times New Roman" w:eastAsia="方正小标宋_GBK" w:cs="Times New Roman"/>
          <w:sz w:val="40"/>
          <w:szCs w:val="44"/>
        </w:rPr>
        <w:t>本科教育教学审核评估指标体系</w:t>
      </w:r>
      <w:r>
        <w:rPr>
          <w:rFonts w:hint="eastAsia" w:ascii="Times New Roman" w:hAnsi="Times New Roman" w:eastAsia="方正小标宋_GBK" w:cs="Times New Roman"/>
          <w:sz w:val="40"/>
          <w:szCs w:val="44"/>
        </w:rPr>
        <w:t>责任</w:t>
      </w:r>
      <w:r>
        <w:rPr>
          <w:rFonts w:ascii="Times New Roman" w:hAnsi="Times New Roman" w:eastAsia="方正小标宋_GBK" w:cs="Times New Roman"/>
          <w:sz w:val="40"/>
          <w:szCs w:val="44"/>
        </w:rPr>
        <w:t>分解</w:t>
      </w:r>
      <w:r>
        <w:rPr>
          <w:rFonts w:hint="eastAsia" w:ascii="Times New Roman" w:hAnsi="Times New Roman" w:eastAsia="方正小标宋_GBK" w:cs="Times New Roman"/>
          <w:sz w:val="40"/>
          <w:szCs w:val="44"/>
        </w:rPr>
        <w:t xml:space="preserve">表                                                       </w:t>
      </w:r>
    </w:p>
    <w:p>
      <w:pPr>
        <w:jc w:val="center"/>
        <w:rPr>
          <w:rFonts w:ascii="Times New Roman" w:hAnsi="Times New Roman" w:eastAsia="黑体" w:cs="Times New Roman"/>
          <w:sz w:val="32"/>
          <w:szCs w:val="32"/>
        </w:rPr>
      </w:pPr>
      <w:r>
        <w:rPr>
          <w:rFonts w:hint="eastAsia" w:ascii="Times New Roman" w:hAnsi="Times New Roman" w:eastAsia="黑体" w:cs="Times New Roman"/>
          <w:sz w:val="30"/>
          <w:szCs w:val="30"/>
        </w:rPr>
        <w:t>（</w:t>
      </w:r>
      <w:r>
        <w:rPr>
          <w:rFonts w:ascii="Times New Roman" w:hAnsi="Times New Roman" w:eastAsia="黑体" w:cs="Times New Roman"/>
          <w:sz w:val="30"/>
          <w:szCs w:val="30"/>
        </w:rPr>
        <w:t>第二类</w:t>
      </w:r>
      <w:r>
        <w:rPr>
          <w:rFonts w:hint="eastAsia" w:ascii="Times New Roman" w:hAnsi="Times New Roman" w:eastAsia="黑体" w:cs="Times New Roman"/>
          <w:sz w:val="30"/>
          <w:szCs w:val="30"/>
        </w:rPr>
        <w:t>第二种</w:t>
      </w:r>
      <w:r>
        <w:rPr>
          <w:rFonts w:ascii="Times New Roman" w:hAnsi="Times New Roman" w:eastAsia="黑体" w:cs="Times New Roman"/>
          <w:sz w:val="30"/>
          <w:szCs w:val="30"/>
        </w:rPr>
        <w:t>审核评估</w:t>
      </w:r>
      <w:r>
        <w:rPr>
          <w:rFonts w:hint="eastAsia" w:ascii="Times New Roman" w:hAnsi="Times New Roman" w:eastAsia="黑体" w:cs="Times New Roman"/>
          <w:sz w:val="30"/>
          <w:szCs w:val="30"/>
        </w:rPr>
        <w:t>）</w:t>
      </w:r>
    </w:p>
    <w:tbl>
      <w:tblPr>
        <w:tblStyle w:val="8"/>
        <w:tblW w:w="14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693"/>
        <w:gridCol w:w="1027"/>
        <w:gridCol w:w="6727"/>
        <w:gridCol w:w="2923"/>
        <w:tblGridChange w:id="0">
          <w:tblGrid>
            <w:gridCol w:w="1984"/>
            <w:gridCol w:w="1693"/>
            <w:gridCol w:w="1027"/>
            <w:gridCol w:w="6727"/>
            <w:gridCol w:w="292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blHeader/>
          <w:jc w:val="center"/>
        </w:trPr>
        <w:tc>
          <w:tcPr>
            <w:tcW w:w="1984" w:type="dxa"/>
            <w:shd w:val="clear" w:color="auto" w:fill="auto"/>
            <w:vAlign w:val="center"/>
          </w:tcPr>
          <w:p>
            <w:pPr>
              <w:widowControl/>
              <w:spacing w:line="300" w:lineRule="exact"/>
              <w:jc w:val="center"/>
              <w:rPr>
                <w:rFonts w:ascii="仿宋" w:hAnsi="仿宋" w:eastAsia="仿宋" w:cs="仿宋"/>
                <w:b/>
                <w:bCs/>
                <w:kern w:val="0"/>
                <w:sz w:val="24"/>
                <w:szCs w:val="24"/>
              </w:rPr>
            </w:pPr>
            <w:r>
              <w:rPr>
                <w:rFonts w:hint="eastAsia" w:ascii="仿宋" w:hAnsi="仿宋" w:eastAsia="仿宋" w:cs="仿宋"/>
                <w:b/>
                <w:bCs/>
                <w:kern w:val="0"/>
                <w:sz w:val="24"/>
                <w:szCs w:val="24"/>
              </w:rPr>
              <w:t>一级指标</w:t>
            </w:r>
          </w:p>
        </w:tc>
        <w:tc>
          <w:tcPr>
            <w:tcW w:w="1693" w:type="dxa"/>
            <w:shd w:val="clear" w:color="auto" w:fill="auto"/>
            <w:vAlign w:val="center"/>
          </w:tcPr>
          <w:p>
            <w:pPr>
              <w:widowControl/>
              <w:spacing w:line="300" w:lineRule="exact"/>
              <w:jc w:val="center"/>
              <w:rPr>
                <w:rFonts w:ascii="仿宋" w:hAnsi="仿宋" w:eastAsia="仿宋" w:cs="仿宋"/>
                <w:b/>
                <w:bCs/>
                <w:kern w:val="0"/>
                <w:sz w:val="24"/>
                <w:szCs w:val="24"/>
              </w:rPr>
            </w:pPr>
            <w:r>
              <w:rPr>
                <w:rFonts w:hint="eastAsia" w:ascii="仿宋" w:hAnsi="仿宋" w:eastAsia="仿宋" w:cs="仿宋"/>
                <w:b/>
                <w:bCs/>
                <w:kern w:val="0"/>
                <w:sz w:val="24"/>
                <w:szCs w:val="24"/>
              </w:rPr>
              <w:t>二级指标</w:t>
            </w:r>
          </w:p>
        </w:tc>
        <w:tc>
          <w:tcPr>
            <w:tcW w:w="7754" w:type="dxa"/>
            <w:gridSpan w:val="2"/>
            <w:shd w:val="clear" w:color="auto" w:fill="auto"/>
            <w:vAlign w:val="center"/>
          </w:tcPr>
          <w:p>
            <w:pPr>
              <w:widowControl/>
              <w:spacing w:line="300" w:lineRule="exact"/>
              <w:jc w:val="center"/>
              <w:rPr>
                <w:rFonts w:ascii="仿宋" w:hAnsi="仿宋" w:eastAsia="仿宋" w:cs="仿宋"/>
                <w:b/>
                <w:bCs/>
                <w:kern w:val="0"/>
                <w:sz w:val="24"/>
                <w:szCs w:val="24"/>
              </w:rPr>
            </w:pPr>
            <w:r>
              <w:rPr>
                <w:rFonts w:hint="eastAsia" w:ascii="仿宋" w:hAnsi="仿宋" w:eastAsia="仿宋" w:cs="仿宋"/>
                <w:b/>
                <w:bCs/>
                <w:kern w:val="0"/>
                <w:sz w:val="24"/>
                <w:szCs w:val="24"/>
              </w:rPr>
              <w:t>审核重点(带*号标识的为新增内容)</w:t>
            </w:r>
          </w:p>
        </w:tc>
        <w:tc>
          <w:tcPr>
            <w:tcW w:w="2923" w:type="dxa"/>
            <w:vAlign w:val="center"/>
          </w:tcPr>
          <w:p>
            <w:pPr>
              <w:widowControl/>
              <w:spacing w:line="300" w:lineRule="exact"/>
              <w:jc w:val="center"/>
              <w:rPr>
                <w:rFonts w:ascii="仿宋" w:hAnsi="仿宋" w:eastAsia="仿宋" w:cs="仿宋"/>
                <w:b/>
                <w:bCs/>
                <w:kern w:val="0"/>
                <w:sz w:val="24"/>
                <w:szCs w:val="24"/>
              </w:rPr>
            </w:pPr>
            <w:r>
              <w:rPr>
                <w:rFonts w:hint="eastAsia" w:ascii="仿宋" w:hAnsi="仿宋" w:eastAsia="仿宋" w:cs="仿宋"/>
                <w:b/>
                <w:bCs/>
                <w:kern w:val="0"/>
                <w:sz w:val="24"/>
                <w:szCs w:val="24"/>
              </w:rPr>
              <w:t>责任单位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984" w:type="dxa"/>
            <w:vMerge w:val="restart"/>
            <w:shd w:val="clear" w:color="auto" w:fill="auto"/>
            <w:vAlign w:val="center"/>
          </w:tcPr>
          <w:p>
            <w:pPr>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1.办学方向与本科地位</w:t>
            </w:r>
          </w:p>
          <w:p>
            <w:pPr>
              <w:spacing w:line="300" w:lineRule="exact"/>
              <w:jc w:val="center"/>
              <w:rPr>
                <w:rFonts w:ascii="仿宋" w:hAnsi="仿宋" w:eastAsia="仿宋" w:cs="仿宋"/>
                <w:b/>
                <w:bCs/>
                <w:kern w:val="0"/>
                <w:sz w:val="24"/>
                <w:szCs w:val="24"/>
              </w:rPr>
            </w:pPr>
            <w:r>
              <w:rPr>
                <w:rFonts w:hint="eastAsia" w:ascii="仿宋" w:hAnsi="仿宋" w:eastAsia="仿宋" w:cs="仿宋"/>
                <w:b/>
                <w:bCs/>
                <w:kern w:val="0"/>
                <w:sz w:val="24"/>
                <w:szCs w:val="24"/>
              </w:rPr>
              <w:t>(牵头</w:t>
            </w:r>
            <w:r>
              <w:rPr>
                <w:rFonts w:hint="eastAsia" w:ascii="仿宋" w:hAnsi="仿宋" w:eastAsia="仿宋" w:cs="仿宋"/>
                <w:b/>
                <w:bCs/>
                <w:color w:val="auto"/>
                <w:kern w:val="0"/>
                <w:sz w:val="24"/>
                <w:szCs w:val="24"/>
              </w:rPr>
              <w:t>单位：党委</w:t>
            </w:r>
            <w:r>
              <w:rPr>
                <w:rFonts w:hint="eastAsia" w:ascii="仿宋" w:hAnsi="仿宋" w:eastAsia="仿宋" w:cs="仿宋"/>
                <w:b/>
                <w:bCs/>
                <w:kern w:val="0"/>
                <w:sz w:val="24"/>
                <w:szCs w:val="24"/>
              </w:rPr>
              <w:t>办公室)</w:t>
            </w:r>
          </w:p>
        </w:tc>
        <w:tc>
          <w:tcPr>
            <w:tcW w:w="1693" w:type="dxa"/>
            <w:vMerge w:val="restart"/>
            <w:shd w:val="clear" w:color="auto" w:fill="auto"/>
            <w:vAlign w:val="center"/>
          </w:tcPr>
          <w:p>
            <w:pPr>
              <w:widowControl/>
              <w:spacing w:line="300" w:lineRule="exact"/>
              <w:jc w:val="center"/>
              <w:rPr>
                <w:rFonts w:ascii="仿宋" w:hAnsi="仿宋" w:eastAsia="仿宋" w:cs="仿宋"/>
                <w:b/>
                <w:bCs/>
                <w:kern w:val="0"/>
                <w:sz w:val="24"/>
                <w:szCs w:val="24"/>
              </w:rPr>
            </w:pPr>
            <w:r>
              <w:rPr>
                <w:rFonts w:hint="eastAsia" w:ascii="仿宋" w:hAnsi="仿宋" w:eastAsia="仿宋" w:cs="仿宋"/>
                <w:kern w:val="0"/>
                <w:sz w:val="24"/>
                <w:szCs w:val="24"/>
              </w:rPr>
              <w:t>1.1党的领导</w:t>
            </w:r>
          </w:p>
        </w:tc>
        <w:tc>
          <w:tcPr>
            <w:tcW w:w="7754" w:type="dxa"/>
            <w:gridSpan w:val="2"/>
            <w:shd w:val="clear" w:color="auto" w:fill="auto"/>
            <w:vAlign w:val="center"/>
          </w:tcPr>
          <w:p>
            <w:pPr>
              <w:widowControl/>
              <w:spacing w:line="300" w:lineRule="exact"/>
              <w:rPr>
                <w:rFonts w:ascii="仿宋" w:hAnsi="仿宋" w:eastAsia="仿宋" w:cs="仿宋"/>
                <w:b/>
                <w:bCs/>
                <w:kern w:val="0"/>
                <w:sz w:val="24"/>
                <w:szCs w:val="24"/>
              </w:rPr>
            </w:pPr>
            <w:r>
              <w:rPr>
                <w:rFonts w:hint="eastAsia" w:ascii="仿宋" w:hAnsi="仿宋" w:eastAsia="仿宋" w:cs="仿宋"/>
                <w:kern w:val="0"/>
                <w:sz w:val="24"/>
                <w:szCs w:val="24"/>
              </w:rPr>
              <w:t>1.1.1 学校坚持党的全面领导，依法治教、依法办学、依法治校，围绕国家战略需求培养担当民族复兴大任的时代新人情况</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党委办公室、 教师工作部、人事处、人才工作办公室、党委宣传部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b/>
                <w:bCs/>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b/>
                <w:bCs/>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b/>
                <w:bCs/>
                <w:kern w:val="0"/>
                <w:sz w:val="24"/>
                <w:szCs w:val="24"/>
              </w:rPr>
            </w:pPr>
            <w:r>
              <w:rPr>
                <w:rFonts w:hint="eastAsia" w:ascii="仿宋" w:hAnsi="仿宋" w:eastAsia="仿宋" w:cs="仿宋"/>
                <w:kern w:val="0"/>
                <w:sz w:val="24"/>
                <w:szCs w:val="24"/>
              </w:rPr>
              <w:t>1.1.2 学校坚持社会主义办学方向、贯彻落实立德树人根本任务、</w:t>
            </w:r>
            <w:r>
              <w:rPr>
                <w:rFonts w:hint="eastAsia" w:ascii="仿宋" w:hAnsi="仿宋" w:eastAsia="仿宋" w:cs="仿宋"/>
                <w:kern w:val="0"/>
                <w:sz w:val="24"/>
                <w:szCs w:val="24"/>
                <w:lang w:val="zh-TW"/>
              </w:rPr>
              <w:t>把立德树人成效作为检验学校一切工作根本标准</w:t>
            </w:r>
            <w:r>
              <w:rPr>
                <w:rFonts w:hint="eastAsia" w:ascii="仿宋" w:hAnsi="仿宋" w:eastAsia="仿宋" w:cs="仿宋"/>
                <w:kern w:val="0"/>
                <w:sz w:val="24"/>
                <w:szCs w:val="24"/>
              </w:rPr>
              <w:t>情况</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color w:val="auto"/>
                <w:kern w:val="0"/>
                <w:sz w:val="24"/>
                <w:szCs w:val="24"/>
              </w:rPr>
              <w:t>校长办公室、党委组织部、党委宣传部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b/>
                <w:bCs/>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b/>
                <w:bCs/>
                <w:kern w:val="0"/>
                <w:sz w:val="24"/>
                <w:szCs w:val="24"/>
              </w:rPr>
            </w:pPr>
            <w:r>
              <w:rPr>
                <w:rFonts w:hint="eastAsia" w:ascii="仿宋" w:hAnsi="仿宋" w:eastAsia="仿宋" w:cs="仿宋"/>
                <w:kern w:val="0"/>
                <w:sz w:val="24"/>
                <w:szCs w:val="24"/>
              </w:rPr>
              <w:t>1.2思政教育</w:t>
            </w: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1.2.1 思想政治工作体系建设和“三全育人”工作格局建立情况</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党委宣传部、学生工作部(处)、校团委、马克思主义学院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7"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b/>
                <w:bCs/>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b/>
                <w:bCs/>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1.2.2 加强思想政治理论课教师队伍和思政课程建设情况，按要求开设“习近平总书记关于教育的重要论述研究”课程情况</w:t>
            </w:r>
            <w:r>
              <w:rPr>
                <w:rFonts w:hint="eastAsia" w:ascii="仿宋" w:hAnsi="仿宋" w:eastAsia="仿宋" w:cs="仿宋"/>
                <w:b/>
                <w:bCs/>
                <w:kern w:val="0"/>
                <w:sz w:val="24"/>
                <w:szCs w:val="24"/>
              </w:rPr>
              <w:t>（*）</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【必选】思政课专任教师与折合在校生比例≥1:350</w:t>
            </w:r>
          </w:p>
          <w:p>
            <w:pPr>
              <w:widowControl/>
              <w:spacing w:line="300" w:lineRule="exact"/>
              <w:rPr>
                <w:rFonts w:ascii="仿宋" w:hAnsi="仿宋" w:eastAsia="仿宋" w:cs="仿宋"/>
                <w:sz w:val="24"/>
                <w:szCs w:val="24"/>
              </w:rPr>
            </w:pPr>
            <w:r>
              <w:rPr>
                <w:rFonts w:hint="eastAsia" w:ascii="仿宋" w:hAnsi="仿宋" w:eastAsia="仿宋" w:cs="仿宋"/>
                <w:sz w:val="24"/>
                <w:szCs w:val="24"/>
              </w:rPr>
              <w:t>【必选】专职党务工作人员和思想政治工作人员总数与全校师生人数比例≥1:100</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w:t>
            </w:r>
            <w:r>
              <w:rPr>
                <w:rFonts w:hint="eastAsia" w:ascii="仿宋" w:hAnsi="仿宋" w:eastAsia="仿宋" w:cs="仿宋"/>
                <w:sz w:val="24"/>
                <w:szCs w:val="24"/>
              </w:rPr>
              <w:t>生均思政工作和党务工作队伍建设专项经费≥20元</w:t>
            </w:r>
          </w:p>
          <w:p>
            <w:pPr>
              <w:widowControl/>
              <w:spacing w:line="300" w:lineRule="exact"/>
              <w:rPr>
                <w:rFonts w:ascii="仿宋" w:hAnsi="仿宋" w:eastAsia="仿宋" w:cs="仿宋"/>
                <w:kern w:val="0"/>
                <w:sz w:val="24"/>
                <w:szCs w:val="24"/>
              </w:rPr>
            </w:pPr>
            <w:r>
              <w:rPr>
                <w:rFonts w:hint="eastAsia" w:ascii="仿宋" w:hAnsi="仿宋" w:eastAsia="仿宋" w:cs="仿宋"/>
                <w:sz w:val="24"/>
                <w:szCs w:val="24"/>
              </w:rPr>
              <w:t>【必选】生均网络思政工作专项经费≥40元</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 xml:space="preserve">党委宣传部、教务处、财务处、马克思主义学院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b/>
                <w:bCs/>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b/>
                <w:bCs/>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1.2.3 “课程思政”建设与成效，课程思政示范课程、课程思政教学研究示范中心以及课程思政教学名师和团队的建设及选树情况</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b/>
                <w:bCs/>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b/>
                <w:bCs/>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1.2.4 学校对教师、学生出现思想政治、道德品质等负面问题能否及时发现和妥当处置情况</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纪委/监察专员办公室、 教师工作部、人事处、人才工作办公室、学生工作部(处)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b/>
                <w:bCs/>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b/>
                <w:bCs/>
                <w:kern w:val="0"/>
                <w:sz w:val="24"/>
                <w:szCs w:val="24"/>
              </w:rPr>
            </w:pPr>
            <w:r>
              <w:rPr>
                <w:rFonts w:hint="eastAsia" w:ascii="仿宋" w:hAnsi="仿宋" w:eastAsia="仿宋" w:cs="仿宋"/>
                <w:kern w:val="0"/>
                <w:sz w:val="24"/>
                <w:szCs w:val="24"/>
              </w:rPr>
              <w:t>1.3本科地位</w:t>
            </w: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1.3.1 “以本为本”落实情况，党委重视、校长主抓、院长落实的本科教育良好氛围形成情况</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党委办公室、校长办公室、各二级学院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b/>
                <w:bCs/>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1.3.2 “四个回归”的实现情况，推进学生刻苦读书学习、教师潜心教书育人、学校倾心培养社会主义建设者和接班人等方面的举措与成效</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教务处、人事处、学生工作部(处)、校团委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5"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b/>
                <w:bCs/>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b/>
                <w:bCs/>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1.3.3 教学经费、教学资源条件、教师精力投入等优先保障本科教学的机制建设情况</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【必选】生均年教学日常运行支出≥1200元（备注5）</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【必选】教学日常运行支出占经常性预算内教育事业费拨款（205类教育拨款扣除专项拨款）与学费收入之和的比例≥13%（教学日常运行支出统计要求见备注5）</w:t>
            </w:r>
          </w:p>
          <w:p>
            <w:pPr>
              <w:widowControl/>
              <w:spacing w:line="300" w:lineRule="exact"/>
              <w:jc w:val="left"/>
              <w:rPr>
                <w:rFonts w:ascii="仿宋" w:hAnsi="仿宋" w:eastAsia="仿宋" w:cs="仿宋"/>
                <w:kern w:val="0"/>
                <w:sz w:val="24"/>
                <w:szCs w:val="24"/>
              </w:rPr>
            </w:pPr>
            <w:r>
              <w:rPr>
                <w:rFonts w:hint="eastAsia" w:ascii="仿宋" w:hAnsi="仿宋" w:eastAsia="仿宋" w:cs="仿宋"/>
                <w:kern w:val="0"/>
                <w:sz w:val="24"/>
                <w:szCs w:val="24"/>
              </w:rPr>
              <w:t>【必选】年新增教学科研仪器设备值所占比例（要求见备注6）</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【必选】生均教学科研仪器设备值（要求见备注7）</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财务处、国有资产与实验室管理处（招投标管理中心）、教务处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b/>
                <w:bCs/>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b/>
                <w:bCs/>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1.3.4 学校各职能部门服务本科教育教学工作情况，本科教育教学工作在学校年度考核中的比重情况</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发展规划与学科建设处、教务处、各职能部门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984" w:type="dxa"/>
            <w:vMerge w:val="restart"/>
            <w:shd w:val="clear" w:color="auto" w:fill="auto"/>
            <w:vAlign w:val="center"/>
          </w:tcPr>
          <w:p>
            <w:pPr>
              <w:jc w:val="center"/>
              <w:rPr>
                <w:rFonts w:ascii="仿宋" w:hAnsi="仿宋" w:eastAsia="仿宋" w:cs="仿宋"/>
                <w:kern w:val="0"/>
                <w:sz w:val="24"/>
                <w:szCs w:val="24"/>
              </w:rPr>
            </w:pPr>
          </w:p>
          <w:p>
            <w:pPr>
              <w:jc w:val="center"/>
              <w:rPr>
                <w:rFonts w:ascii="仿宋" w:hAnsi="仿宋" w:eastAsia="仿宋" w:cs="仿宋"/>
                <w:kern w:val="0"/>
                <w:sz w:val="24"/>
                <w:szCs w:val="24"/>
              </w:rPr>
            </w:pPr>
          </w:p>
          <w:p>
            <w:pPr>
              <w:jc w:val="center"/>
              <w:rPr>
                <w:rFonts w:ascii="仿宋" w:hAnsi="仿宋" w:eastAsia="仿宋" w:cs="仿宋"/>
                <w:kern w:val="0"/>
                <w:sz w:val="24"/>
                <w:szCs w:val="24"/>
              </w:rPr>
            </w:pPr>
          </w:p>
          <w:p>
            <w:pPr>
              <w:jc w:val="center"/>
              <w:rPr>
                <w:rFonts w:ascii="仿宋" w:hAnsi="仿宋" w:eastAsia="仿宋" w:cs="仿宋"/>
                <w:kern w:val="0"/>
                <w:sz w:val="24"/>
                <w:szCs w:val="24"/>
              </w:rPr>
            </w:pPr>
          </w:p>
          <w:p>
            <w:pPr>
              <w:jc w:val="center"/>
              <w:rPr>
                <w:rFonts w:ascii="仿宋" w:hAnsi="仿宋" w:eastAsia="仿宋" w:cs="仿宋"/>
                <w:kern w:val="0"/>
                <w:sz w:val="24"/>
                <w:szCs w:val="24"/>
              </w:rPr>
            </w:pPr>
          </w:p>
          <w:p>
            <w:pPr>
              <w:jc w:val="center"/>
              <w:rPr>
                <w:rFonts w:ascii="仿宋" w:hAnsi="仿宋" w:eastAsia="仿宋" w:cs="仿宋"/>
                <w:kern w:val="0"/>
                <w:sz w:val="24"/>
                <w:szCs w:val="24"/>
              </w:rPr>
            </w:pPr>
          </w:p>
          <w:p>
            <w:pPr>
              <w:jc w:val="center"/>
              <w:rPr>
                <w:rFonts w:ascii="仿宋" w:hAnsi="仿宋" w:eastAsia="仿宋" w:cs="仿宋"/>
                <w:kern w:val="0"/>
                <w:sz w:val="24"/>
                <w:szCs w:val="24"/>
              </w:rPr>
            </w:pPr>
          </w:p>
          <w:p>
            <w:pPr>
              <w:jc w:val="center"/>
              <w:rPr>
                <w:rFonts w:ascii="仿宋" w:hAnsi="仿宋" w:eastAsia="仿宋" w:cs="仿宋"/>
                <w:kern w:val="0"/>
                <w:sz w:val="24"/>
                <w:szCs w:val="24"/>
              </w:rPr>
            </w:pPr>
            <w:r>
              <w:rPr>
                <w:rFonts w:hint="eastAsia" w:ascii="仿宋" w:hAnsi="仿宋" w:eastAsia="仿宋" w:cs="仿宋"/>
                <w:kern w:val="0"/>
                <w:sz w:val="24"/>
                <w:szCs w:val="24"/>
              </w:rPr>
              <w:t>2.培养过程</w:t>
            </w:r>
          </w:p>
          <w:p>
            <w:pPr>
              <w:jc w:val="center"/>
              <w:rPr>
                <w:rFonts w:ascii="仿宋" w:hAnsi="仿宋" w:eastAsia="仿宋" w:cs="仿宋"/>
                <w:kern w:val="0"/>
                <w:sz w:val="24"/>
                <w:szCs w:val="24"/>
              </w:rPr>
            </w:pPr>
            <w:r>
              <w:rPr>
                <w:rFonts w:hint="eastAsia" w:ascii="仿宋" w:hAnsi="仿宋" w:eastAsia="仿宋" w:cs="仿宋"/>
                <w:b/>
                <w:bCs/>
                <w:kern w:val="0"/>
                <w:sz w:val="24"/>
                <w:szCs w:val="24"/>
              </w:rPr>
              <w:t>(牵头单位：教务处)</w:t>
            </w: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2.1培养方案</w:t>
            </w: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2.1.1 培养目标符合学校定位、适应社会经济发展需要、体现学生德智体美劳全面发展情况</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spacing w:line="300" w:lineRule="exact"/>
              <w:rPr>
                <w:rFonts w:ascii="仿宋" w:hAnsi="仿宋" w:eastAsia="仿宋" w:cs="仿宋"/>
                <w:kern w:val="0"/>
                <w:sz w:val="24"/>
                <w:szCs w:val="24"/>
              </w:rPr>
            </w:pPr>
            <w:r>
              <w:rPr>
                <w:rFonts w:hint="eastAsia" w:ascii="仿宋" w:hAnsi="仿宋" w:eastAsia="仿宋" w:cs="仿宋"/>
                <w:kern w:val="0"/>
                <w:sz w:val="24"/>
                <w:szCs w:val="24"/>
              </w:rPr>
              <w:t>2.1.2 培养方案符合国家专业类标准、体现产出导向理念情况</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【必选】学生毕业必须修满的公共艺术课程学分数≥2学分</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【必选】劳动教育必修课或必修课程中劳动教育模块学时总数≥32学时</w:t>
            </w:r>
          </w:p>
        </w:tc>
        <w:tc>
          <w:tcPr>
            <w:tcW w:w="2923" w:type="dxa"/>
            <w:vAlign w:val="center"/>
          </w:tcPr>
          <w:p>
            <w:pPr>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1027" w:type="dxa"/>
            <w:shd w:val="clear" w:color="auto" w:fill="auto"/>
            <w:vAlign w:val="center"/>
          </w:tcPr>
          <w:p>
            <w:pPr>
              <w:spacing w:line="300" w:lineRule="exact"/>
              <w:rPr>
                <w:rFonts w:ascii="仿宋" w:hAnsi="仿宋" w:eastAsia="仿宋" w:cs="仿宋"/>
                <w:kern w:val="0"/>
                <w:sz w:val="24"/>
                <w:szCs w:val="24"/>
              </w:rPr>
            </w:pPr>
            <w:r>
              <w:rPr>
                <w:rFonts w:hint="eastAsia" w:ascii="仿宋" w:hAnsi="仿宋" w:eastAsia="仿宋" w:cs="仿宋"/>
                <w:kern w:val="0"/>
                <w:sz w:val="24"/>
                <w:szCs w:val="24"/>
              </w:rPr>
              <w:t>B 2.1.3</w:t>
            </w:r>
          </w:p>
        </w:tc>
        <w:tc>
          <w:tcPr>
            <w:tcW w:w="6727" w:type="dxa"/>
            <w:shd w:val="clear" w:color="auto" w:fill="auto"/>
            <w:vAlign w:val="center"/>
          </w:tcPr>
          <w:p>
            <w:pPr>
              <w:spacing w:line="300" w:lineRule="exact"/>
              <w:rPr>
                <w:rFonts w:ascii="仿宋" w:hAnsi="仿宋" w:eastAsia="仿宋" w:cs="仿宋"/>
                <w:kern w:val="0"/>
                <w:sz w:val="24"/>
                <w:szCs w:val="24"/>
              </w:rPr>
            </w:pPr>
            <w:r>
              <w:rPr>
                <w:rFonts w:hint="eastAsia" w:ascii="仿宋" w:hAnsi="仿宋" w:eastAsia="仿宋" w:cs="仿宋"/>
                <w:kern w:val="0"/>
                <w:sz w:val="24"/>
                <w:szCs w:val="24"/>
              </w:rPr>
              <w:t>B2培养方案强化实践教学、突出实验实训内容的基础性和应用性、注重培养学生应用能力情况</w:t>
            </w:r>
          </w:p>
        </w:tc>
        <w:tc>
          <w:tcPr>
            <w:tcW w:w="2923" w:type="dxa"/>
            <w:vAlign w:val="center"/>
          </w:tcPr>
          <w:p>
            <w:pPr>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restart"/>
            <w:shd w:val="clear" w:color="auto" w:fill="auto"/>
            <w:vAlign w:val="center"/>
          </w:tcPr>
          <w:p>
            <w:pPr>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2.2专业建设</w:t>
            </w:r>
          </w:p>
        </w:tc>
        <w:tc>
          <w:tcPr>
            <w:tcW w:w="1027" w:type="dxa"/>
            <w:shd w:val="clear" w:color="auto" w:fill="auto"/>
            <w:vAlign w:val="center"/>
          </w:tcPr>
          <w:p>
            <w:pPr>
              <w:tabs>
                <w:tab w:val="left" w:pos="2257"/>
              </w:tabs>
              <w:spacing w:line="300" w:lineRule="exact"/>
              <w:jc w:val="left"/>
              <w:rPr>
                <w:rFonts w:ascii="仿宋" w:hAnsi="仿宋" w:eastAsia="仿宋" w:cs="仿宋"/>
                <w:kern w:val="0"/>
                <w:sz w:val="24"/>
                <w:szCs w:val="24"/>
              </w:rPr>
            </w:pPr>
            <w:r>
              <w:rPr>
                <w:rFonts w:hint="eastAsia" w:ascii="仿宋" w:hAnsi="仿宋" w:eastAsia="仿宋" w:cs="仿宋"/>
                <w:kern w:val="0"/>
                <w:sz w:val="24"/>
                <w:szCs w:val="24"/>
              </w:rPr>
              <w:t>B 2.2.1</w:t>
            </w:r>
          </w:p>
        </w:tc>
        <w:tc>
          <w:tcPr>
            <w:tcW w:w="6727" w:type="dxa"/>
            <w:shd w:val="clear" w:color="auto" w:fill="auto"/>
            <w:vAlign w:val="center"/>
          </w:tcPr>
          <w:p>
            <w:pPr>
              <w:widowControl/>
              <w:spacing w:line="300" w:lineRule="exact"/>
              <w:rPr>
                <w:rFonts w:ascii="仿宋" w:hAnsi="仿宋" w:eastAsia="仿宋" w:cs="仿宋"/>
                <w:spacing w:val="-2"/>
                <w:kern w:val="0"/>
                <w:sz w:val="24"/>
                <w:szCs w:val="24"/>
              </w:rPr>
            </w:pPr>
            <w:r>
              <w:rPr>
                <w:rFonts w:hint="eastAsia" w:ascii="仿宋" w:hAnsi="仿宋" w:eastAsia="仿宋" w:cs="仿宋"/>
                <w:spacing w:val="-2"/>
                <w:kern w:val="0"/>
                <w:sz w:val="24"/>
                <w:szCs w:val="24"/>
              </w:rPr>
              <w:t>B2专业设置、专业建设与国家需要、区域经济社会发展及产业发展对应用型人才需求的契合情况</w:t>
            </w:r>
          </w:p>
          <w:p>
            <w:pPr>
              <w:widowControl/>
              <w:spacing w:line="300" w:lineRule="exact"/>
              <w:rPr>
                <w:rFonts w:ascii="仿宋" w:hAnsi="仿宋" w:eastAsia="仿宋" w:cs="仿宋"/>
                <w:spacing w:val="-2"/>
                <w:kern w:val="0"/>
                <w:sz w:val="24"/>
                <w:szCs w:val="24"/>
              </w:rPr>
            </w:pPr>
            <w:r>
              <w:rPr>
                <w:rFonts w:hint="eastAsia" w:ascii="仿宋" w:hAnsi="仿宋" w:eastAsia="仿宋" w:cs="仿宋"/>
                <w:kern w:val="0"/>
                <w:sz w:val="24"/>
                <w:szCs w:val="24"/>
              </w:rPr>
              <w:t>【必选】通过认证（评估）的专业占专业总数的比例</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【可选】近三年新增专业数</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【可选】近三年停招专业数</w:t>
            </w:r>
          </w:p>
        </w:tc>
        <w:tc>
          <w:tcPr>
            <w:tcW w:w="2923" w:type="dxa"/>
            <w:vAlign w:val="center"/>
          </w:tcPr>
          <w:p>
            <w:pPr>
              <w:widowControl/>
              <w:spacing w:line="300" w:lineRule="exact"/>
              <w:jc w:val="center"/>
              <w:rPr>
                <w:rFonts w:ascii="仿宋" w:hAnsi="仿宋" w:eastAsia="仿宋" w:cs="仿宋"/>
                <w:spacing w:val="-2"/>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1027" w:type="dxa"/>
            <w:shd w:val="clear" w:color="auto" w:fill="auto"/>
            <w:vAlign w:val="center"/>
          </w:tcPr>
          <w:p>
            <w:pPr>
              <w:tabs>
                <w:tab w:val="left" w:pos="2257"/>
              </w:tabs>
              <w:spacing w:line="300" w:lineRule="exact"/>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B 2.2.2</w:t>
            </w:r>
          </w:p>
        </w:tc>
        <w:tc>
          <w:tcPr>
            <w:tcW w:w="6727" w:type="dxa"/>
            <w:shd w:val="clear" w:color="auto" w:fill="auto"/>
          </w:tcPr>
          <w:p>
            <w:pPr>
              <w:widowControl/>
              <w:spacing w:line="300" w:lineRule="exac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B2围绕产业链、创新链建立自主性、灵活性与规范性、稳定性相统一的专业设置管理体系情况</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984" w:type="dxa"/>
            <w:vMerge w:val="continue"/>
            <w:shd w:val="clear" w:color="auto" w:fill="auto"/>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2.2.3 学校通过主辅修、微专业和双学士学位培养等举措促进复合型人才培养情况</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1984" w:type="dxa"/>
            <w:vMerge w:val="continue"/>
            <w:shd w:val="clear" w:color="auto" w:fill="auto"/>
          </w:tcPr>
          <w:p>
            <w:pPr>
              <w:spacing w:line="300" w:lineRule="exact"/>
              <w:jc w:val="center"/>
              <w:rPr>
                <w:rFonts w:ascii="仿宋" w:hAnsi="仿宋" w:eastAsia="仿宋" w:cs="仿宋"/>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2.3实践教学</w:t>
            </w:r>
          </w:p>
        </w:tc>
        <w:tc>
          <w:tcPr>
            <w:tcW w:w="7754" w:type="dxa"/>
            <w:gridSpan w:val="2"/>
            <w:shd w:val="clear" w:color="auto" w:fill="auto"/>
            <w:vAlign w:val="center"/>
          </w:tcPr>
          <w:p>
            <w:pPr>
              <w:tabs>
                <w:tab w:val="left" w:pos="2257"/>
              </w:tabs>
              <w:spacing w:line="300" w:lineRule="exact"/>
              <w:rPr>
                <w:rFonts w:ascii="仿宋" w:hAnsi="仿宋" w:eastAsia="仿宋" w:cs="仿宋"/>
                <w:kern w:val="0"/>
                <w:sz w:val="24"/>
                <w:szCs w:val="24"/>
              </w:rPr>
            </w:pPr>
            <w:r>
              <w:rPr>
                <w:rFonts w:hint="eastAsia" w:ascii="仿宋" w:hAnsi="仿宋" w:eastAsia="仿宋" w:cs="仿宋"/>
                <w:kern w:val="0"/>
                <w:sz w:val="24"/>
                <w:szCs w:val="24"/>
              </w:rPr>
              <w:t>2.3.1 强化实践育人、构建实践教学体系、推动实践教学改革情况</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【必选】实践教学学分占总学分（学时）比例（人文社科类专业≥15%，理工农医类专业≥25%）</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【必选】国家级、省级实践教学基地（包括实验教学示范中心、虚拟仿真实验中心、临床教学培训示范中心、工程实践基地、农科教合作人才培养基地等）数</w:t>
            </w:r>
          </w:p>
        </w:tc>
        <w:tc>
          <w:tcPr>
            <w:tcW w:w="2923" w:type="dxa"/>
            <w:vAlign w:val="center"/>
          </w:tcPr>
          <w:p>
            <w:pPr>
              <w:tabs>
                <w:tab w:val="left" w:pos="2257"/>
              </w:tabs>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984" w:type="dxa"/>
            <w:vMerge w:val="continue"/>
            <w:shd w:val="clear" w:color="auto" w:fill="auto"/>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1027" w:type="dxa"/>
            <w:shd w:val="clear" w:color="auto" w:fill="auto"/>
            <w:vAlign w:val="center"/>
          </w:tcPr>
          <w:p>
            <w:pPr>
              <w:tabs>
                <w:tab w:val="left" w:pos="2257"/>
              </w:tabs>
              <w:spacing w:line="300" w:lineRule="exact"/>
              <w:jc w:val="left"/>
              <w:rPr>
                <w:rFonts w:ascii="仿宋" w:hAnsi="仿宋" w:eastAsia="仿宋" w:cs="仿宋"/>
                <w:kern w:val="0"/>
                <w:sz w:val="24"/>
                <w:szCs w:val="24"/>
              </w:rPr>
            </w:pPr>
            <w:r>
              <w:rPr>
                <w:rFonts w:hint="eastAsia" w:ascii="仿宋" w:hAnsi="仿宋" w:eastAsia="仿宋" w:cs="仿宋"/>
                <w:kern w:val="0"/>
                <w:sz w:val="24"/>
                <w:szCs w:val="24"/>
              </w:rPr>
              <w:t>B 2.3.2</w:t>
            </w:r>
          </w:p>
        </w:tc>
        <w:tc>
          <w:tcPr>
            <w:tcW w:w="6727" w:type="dxa"/>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B2学校与企业、行业单位共建实习实训基地情况</w:t>
            </w:r>
          </w:p>
          <w:p>
            <w:pPr>
              <w:widowControl/>
              <w:spacing w:line="300" w:lineRule="exact"/>
              <w:rPr>
                <w:rFonts w:ascii="仿宋" w:hAnsi="仿宋" w:eastAsia="仿宋" w:cs="仿宋"/>
                <w:kern w:val="0"/>
                <w:sz w:val="24"/>
                <w:szCs w:val="24"/>
                <w:lang w:eastAsia="zh-TW"/>
              </w:rPr>
            </w:pPr>
            <w:r>
              <w:rPr>
                <w:rFonts w:hint="eastAsia" w:ascii="仿宋" w:hAnsi="仿宋" w:eastAsia="仿宋" w:cs="仿宋"/>
                <w:kern w:val="0"/>
                <w:sz w:val="24"/>
                <w:szCs w:val="24"/>
                <w:lang w:eastAsia="zh-TW"/>
              </w:rPr>
              <w:t>【可选】与行业企业共建的实验教学中心数</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984" w:type="dxa"/>
            <w:vMerge w:val="continue"/>
            <w:shd w:val="clear" w:color="auto" w:fill="auto"/>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1027" w:type="dxa"/>
            <w:shd w:val="clear" w:color="auto" w:fill="auto"/>
            <w:vAlign w:val="center"/>
          </w:tcPr>
          <w:p>
            <w:pPr>
              <w:tabs>
                <w:tab w:val="left" w:pos="2257"/>
              </w:tabs>
              <w:spacing w:line="300" w:lineRule="exact"/>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B 2.3.3</w:t>
            </w:r>
          </w:p>
        </w:tc>
        <w:tc>
          <w:tcPr>
            <w:tcW w:w="6727" w:type="dxa"/>
            <w:shd w:val="clear" w:color="auto" w:fill="auto"/>
            <w:vAlign w:val="center"/>
          </w:tcPr>
          <w:p>
            <w:pPr>
              <w:widowControl/>
              <w:spacing w:line="300" w:lineRule="exac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B2毕业论文（设计）选题来自行业企业一线需要、实行校企“双导师”制情况及完成质量</w:t>
            </w:r>
          </w:p>
          <w:p>
            <w:pPr>
              <w:widowControl/>
              <w:spacing w:line="300" w:lineRule="exac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【必选】以实验、实习、工程实践和社会调查等实践性工作为基础的毕业论文（</w:t>
            </w:r>
            <w:r>
              <w:rPr>
                <w:rFonts w:hint="eastAsia" w:ascii="仿宋" w:hAnsi="仿宋" w:eastAsia="仿宋" w:cs="仿宋"/>
                <w:color w:val="auto"/>
                <w:sz w:val="24"/>
                <w:szCs w:val="24"/>
                <w:highlight w:val="none"/>
              </w:rPr>
              <w:t>设计</w:t>
            </w:r>
            <w:r>
              <w:rPr>
                <w:rFonts w:hint="eastAsia" w:ascii="仿宋" w:hAnsi="仿宋" w:eastAsia="仿宋" w:cs="仿宋"/>
                <w:color w:val="auto"/>
                <w:kern w:val="0"/>
                <w:sz w:val="24"/>
                <w:szCs w:val="24"/>
                <w:highlight w:val="none"/>
              </w:rPr>
              <w:t>）比例≥50%</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984" w:type="dxa"/>
            <w:vMerge w:val="continue"/>
            <w:shd w:val="clear" w:color="auto" w:fill="auto"/>
          </w:tcPr>
          <w:p>
            <w:pPr>
              <w:spacing w:line="300" w:lineRule="exact"/>
              <w:jc w:val="center"/>
              <w:rPr>
                <w:rFonts w:ascii="仿宋" w:hAnsi="仿宋" w:eastAsia="仿宋" w:cs="仿宋"/>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2.4课堂教学</w:t>
            </w:r>
          </w:p>
        </w:tc>
        <w:tc>
          <w:tcPr>
            <w:tcW w:w="7754" w:type="dxa"/>
            <w:gridSpan w:val="2"/>
            <w:shd w:val="clear" w:color="auto" w:fill="auto"/>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2.4.1 实施“以学为中心、以教为主导”的课堂教学，开展以学生学习成果为导向的教学评价情况</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984" w:type="dxa"/>
            <w:vMerge w:val="continue"/>
            <w:shd w:val="clear" w:color="auto" w:fill="auto"/>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tabs>
                <w:tab w:val="left" w:pos="2257"/>
              </w:tabs>
              <w:spacing w:line="300" w:lineRule="exact"/>
              <w:rPr>
                <w:rFonts w:ascii="仿宋" w:hAnsi="仿宋" w:eastAsia="仿宋" w:cs="仿宋"/>
                <w:kern w:val="0"/>
                <w:sz w:val="24"/>
                <w:szCs w:val="24"/>
              </w:rPr>
            </w:pPr>
            <w:r>
              <w:rPr>
                <w:rFonts w:hint="eastAsia" w:ascii="仿宋" w:hAnsi="仿宋" w:eastAsia="仿宋" w:cs="仿宋"/>
                <w:kern w:val="0"/>
                <w:sz w:val="24"/>
                <w:szCs w:val="24"/>
              </w:rPr>
              <w:t>2.4.2 推进信息技术与教学过程融合、加强信息化教学环境与资源建设</w:t>
            </w:r>
            <w:bookmarkStart w:id="0" w:name="_GoBack"/>
            <w:bookmarkEnd w:id="0"/>
            <w:r>
              <w:rPr>
                <w:rFonts w:hint="eastAsia" w:ascii="仿宋" w:hAnsi="仿宋" w:eastAsia="仿宋" w:cs="仿宋"/>
                <w:kern w:val="0"/>
                <w:sz w:val="24"/>
                <w:szCs w:val="24"/>
              </w:rPr>
              <w:t>情况</w:t>
            </w:r>
          </w:p>
        </w:tc>
        <w:tc>
          <w:tcPr>
            <w:tcW w:w="2923" w:type="dxa"/>
            <w:vAlign w:val="center"/>
          </w:tcPr>
          <w:p>
            <w:pPr>
              <w:tabs>
                <w:tab w:val="left" w:pos="2257"/>
              </w:tabs>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信息化建设与管理工作处、国有资产与实验室管理处（招投标管理中心）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984" w:type="dxa"/>
            <w:vMerge w:val="continue"/>
            <w:shd w:val="clear" w:color="auto" w:fill="auto"/>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tcPr>
          <w:p>
            <w:pPr>
              <w:tabs>
                <w:tab w:val="left" w:pos="2257"/>
              </w:tabs>
              <w:spacing w:line="300" w:lineRule="exact"/>
              <w:rPr>
                <w:rFonts w:ascii="仿宋" w:hAnsi="仿宋" w:eastAsia="仿宋" w:cs="仿宋"/>
                <w:kern w:val="0"/>
                <w:sz w:val="24"/>
                <w:szCs w:val="24"/>
              </w:rPr>
            </w:pPr>
            <w:r>
              <w:rPr>
                <w:rFonts w:hint="eastAsia" w:ascii="仿宋" w:hAnsi="仿宋" w:eastAsia="仿宋" w:cs="仿宋"/>
                <w:kern w:val="0"/>
                <w:sz w:val="24"/>
                <w:szCs w:val="24"/>
              </w:rPr>
              <w:t>2.4.3 建立健全教材管理机构和工作制度情况，依照教材审核选用标准和程序选用教材情况；推进马工程重点教材统一使用情况；对教材选用工作出现负面问题的处理情况</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【必选】使用马工程重点教材课程数量与学校应使用马工程重点教材课程数量的比例</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【可选】近五年公开出版的教材数</w:t>
            </w:r>
          </w:p>
        </w:tc>
        <w:tc>
          <w:tcPr>
            <w:tcW w:w="2923" w:type="dxa"/>
            <w:vAlign w:val="center"/>
          </w:tcPr>
          <w:p>
            <w:pPr>
              <w:tabs>
                <w:tab w:val="left" w:pos="2257"/>
              </w:tabs>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984" w:type="dxa"/>
            <w:vMerge w:val="continue"/>
            <w:shd w:val="clear" w:color="auto" w:fill="auto"/>
          </w:tcPr>
          <w:p>
            <w:pPr>
              <w:spacing w:line="300" w:lineRule="exact"/>
              <w:jc w:val="center"/>
              <w:rPr>
                <w:rFonts w:ascii="仿宋" w:hAnsi="仿宋" w:eastAsia="仿宋" w:cs="仿宋"/>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K 2.5卓越</w:t>
            </w:r>
          </w:p>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培养</w:t>
            </w:r>
          </w:p>
        </w:tc>
        <w:tc>
          <w:tcPr>
            <w:tcW w:w="1027" w:type="dxa"/>
            <w:shd w:val="clear" w:color="auto" w:fill="auto"/>
            <w:vAlign w:val="center"/>
          </w:tcPr>
          <w:p>
            <w:pPr>
              <w:widowControl/>
              <w:spacing w:line="300" w:lineRule="exac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K 2.5.1</w:t>
            </w:r>
          </w:p>
        </w:tc>
        <w:tc>
          <w:tcPr>
            <w:tcW w:w="6727" w:type="dxa"/>
            <w:shd w:val="clear" w:color="auto" w:fill="auto"/>
            <w:vAlign w:val="center"/>
          </w:tcPr>
          <w:p>
            <w:pPr>
              <w:widowControl/>
              <w:spacing w:line="300" w:lineRule="exac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K2产教融合卓越人才培养模式改革及其实践效果</w:t>
            </w:r>
            <w:r>
              <w:rPr>
                <w:rFonts w:hint="eastAsia" w:ascii="仿宋" w:hAnsi="仿宋" w:eastAsia="仿宋" w:cs="仿宋"/>
                <w:b/>
                <w:bCs/>
                <w:color w:val="auto"/>
                <w:kern w:val="0"/>
                <w:sz w:val="24"/>
                <w:szCs w:val="24"/>
                <w:highlight w:val="none"/>
              </w:rPr>
              <w:t>（*）</w:t>
            </w:r>
          </w:p>
          <w:p>
            <w:pPr>
              <w:widowControl/>
              <w:spacing w:line="300" w:lineRule="exac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【可选】产学合作协同育人项目数</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984" w:type="dxa"/>
            <w:vMerge w:val="continue"/>
            <w:shd w:val="clear" w:color="auto" w:fill="auto"/>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tabs>
                <w:tab w:val="left" w:pos="2257"/>
              </w:tabs>
              <w:spacing w:line="300" w:lineRule="exact"/>
              <w:rPr>
                <w:rFonts w:ascii="仿宋" w:hAnsi="仿宋" w:eastAsia="仿宋" w:cs="仿宋"/>
                <w:kern w:val="0"/>
                <w:sz w:val="24"/>
                <w:szCs w:val="24"/>
              </w:rPr>
            </w:pPr>
            <w:r>
              <w:rPr>
                <w:rFonts w:hint="eastAsia" w:ascii="仿宋" w:hAnsi="仿宋" w:eastAsia="仿宋" w:cs="仿宋"/>
                <w:kern w:val="0"/>
                <w:sz w:val="24"/>
                <w:szCs w:val="24"/>
              </w:rPr>
              <w:t>K 2.5.2 加强课程体系整体设计，优化公共课、专业基础课和专业课比例结构，提高课程建设规划性、系统性情况</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【必选】本科生生均课程门数</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【可选】与行业企业共建、共同讲授的课程数</w:t>
            </w:r>
          </w:p>
        </w:tc>
        <w:tc>
          <w:tcPr>
            <w:tcW w:w="2923" w:type="dxa"/>
            <w:vAlign w:val="center"/>
          </w:tcPr>
          <w:p>
            <w:pPr>
              <w:tabs>
                <w:tab w:val="left" w:pos="2257"/>
              </w:tabs>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tabs>
                <w:tab w:val="left" w:pos="2257"/>
              </w:tabs>
              <w:spacing w:line="300" w:lineRule="exact"/>
              <w:rPr>
                <w:rFonts w:ascii="仿宋" w:hAnsi="仿宋" w:eastAsia="仿宋" w:cs="仿宋"/>
                <w:kern w:val="0"/>
                <w:sz w:val="24"/>
                <w:szCs w:val="24"/>
              </w:rPr>
            </w:pPr>
            <w:r>
              <w:rPr>
                <w:rFonts w:hint="eastAsia" w:ascii="仿宋" w:hAnsi="仿宋" w:eastAsia="仿宋" w:cs="仿宋"/>
                <w:kern w:val="0"/>
                <w:sz w:val="24"/>
                <w:szCs w:val="24"/>
              </w:rPr>
              <w:t>K 2.5.3 新工科、新农科、新文科建设以及围绕“培育高水平教学成果”开展教研教改项目建设的举措及实施成效</w:t>
            </w:r>
            <w:r>
              <w:rPr>
                <w:rFonts w:hint="eastAsia" w:ascii="仿宋" w:hAnsi="仿宋" w:eastAsia="仿宋" w:cs="仿宋"/>
                <w:b/>
                <w:bCs/>
                <w:kern w:val="0"/>
                <w:sz w:val="24"/>
                <w:szCs w:val="24"/>
              </w:rPr>
              <w:t>（*）</w:t>
            </w:r>
          </w:p>
        </w:tc>
        <w:tc>
          <w:tcPr>
            <w:tcW w:w="2923" w:type="dxa"/>
            <w:vAlign w:val="center"/>
          </w:tcPr>
          <w:p>
            <w:pPr>
              <w:tabs>
                <w:tab w:val="left" w:pos="2257"/>
              </w:tabs>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984" w:type="dxa"/>
            <w:vMerge w:val="continue"/>
            <w:shd w:val="clear" w:color="auto" w:fill="auto"/>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tabs>
                <w:tab w:val="left" w:pos="2257"/>
              </w:tabs>
              <w:spacing w:line="300" w:lineRule="exact"/>
              <w:rPr>
                <w:rFonts w:ascii="仿宋" w:hAnsi="仿宋" w:eastAsia="仿宋" w:cs="仿宋"/>
                <w:kern w:val="0"/>
                <w:sz w:val="24"/>
                <w:szCs w:val="24"/>
              </w:rPr>
            </w:pPr>
            <w:r>
              <w:rPr>
                <w:rFonts w:hint="eastAsia" w:ascii="仿宋" w:hAnsi="仿宋" w:eastAsia="仿宋" w:cs="仿宋"/>
                <w:kern w:val="0"/>
                <w:sz w:val="24"/>
                <w:szCs w:val="24"/>
              </w:rPr>
              <w:t>K 2.5.4 一流专业“双万计划”建设举措及成效</w:t>
            </w:r>
            <w:r>
              <w:rPr>
                <w:rFonts w:hint="eastAsia" w:ascii="仿宋" w:hAnsi="仿宋" w:eastAsia="仿宋" w:cs="仿宋"/>
                <w:b/>
                <w:bCs/>
                <w:kern w:val="0"/>
                <w:sz w:val="24"/>
                <w:szCs w:val="24"/>
              </w:rPr>
              <w:t>（*）</w:t>
            </w:r>
          </w:p>
        </w:tc>
        <w:tc>
          <w:tcPr>
            <w:tcW w:w="2923" w:type="dxa"/>
            <w:vAlign w:val="center"/>
          </w:tcPr>
          <w:p>
            <w:pPr>
              <w:tabs>
                <w:tab w:val="left" w:pos="2257"/>
              </w:tabs>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984" w:type="dxa"/>
            <w:vMerge w:val="continue"/>
            <w:shd w:val="clear" w:color="auto" w:fill="auto"/>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tabs>
                <w:tab w:val="left" w:pos="2257"/>
              </w:tabs>
              <w:spacing w:line="300" w:lineRule="exact"/>
              <w:rPr>
                <w:rFonts w:ascii="仿宋" w:hAnsi="仿宋" w:eastAsia="仿宋" w:cs="仿宋"/>
                <w:kern w:val="0"/>
                <w:sz w:val="24"/>
                <w:szCs w:val="24"/>
              </w:rPr>
            </w:pPr>
            <w:r>
              <w:rPr>
                <w:rFonts w:hint="eastAsia" w:ascii="仿宋" w:hAnsi="仿宋" w:eastAsia="仿宋" w:cs="仿宋"/>
                <w:kern w:val="0"/>
                <w:sz w:val="24"/>
                <w:szCs w:val="24"/>
              </w:rPr>
              <w:t>K 2.5.5 一流课程“双万计划”建设举措及成效</w:t>
            </w:r>
            <w:r>
              <w:rPr>
                <w:rFonts w:hint="eastAsia" w:ascii="仿宋" w:hAnsi="仿宋" w:eastAsia="仿宋" w:cs="仿宋"/>
                <w:b/>
                <w:bCs/>
                <w:kern w:val="0"/>
                <w:sz w:val="24"/>
                <w:szCs w:val="24"/>
              </w:rPr>
              <w:t>（*）</w:t>
            </w:r>
          </w:p>
        </w:tc>
        <w:tc>
          <w:tcPr>
            <w:tcW w:w="2923" w:type="dxa"/>
            <w:vAlign w:val="center"/>
          </w:tcPr>
          <w:p>
            <w:pPr>
              <w:tabs>
                <w:tab w:val="left" w:pos="2257"/>
              </w:tabs>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984" w:type="dxa"/>
            <w:vMerge w:val="continue"/>
            <w:shd w:val="clear" w:color="auto" w:fill="auto"/>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tabs>
                <w:tab w:val="left" w:pos="2257"/>
              </w:tabs>
              <w:spacing w:line="300" w:lineRule="exact"/>
              <w:rPr>
                <w:rFonts w:ascii="仿宋" w:hAnsi="仿宋" w:eastAsia="仿宋" w:cs="仿宋"/>
                <w:kern w:val="0"/>
                <w:sz w:val="24"/>
                <w:szCs w:val="24"/>
              </w:rPr>
            </w:pPr>
            <w:r>
              <w:rPr>
                <w:rFonts w:hint="eastAsia" w:ascii="仿宋" w:hAnsi="仿宋" w:eastAsia="仿宋" w:cs="仿宋"/>
                <w:kern w:val="0"/>
                <w:sz w:val="24"/>
                <w:szCs w:val="24"/>
              </w:rPr>
              <w:t>K 2.5.6 优秀教材建设举措及成效</w:t>
            </w:r>
          </w:p>
        </w:tc>
        <w:tc>
          <w:tcPr>
            <w:tcW w:w="2923" w:type="dxa"/>
            <w:vAlign w:val="center"/>
          </w:tcPr>
          <w:p>
            <w:pPr>
              <w:tabs>
                <w:tab w:val="left" w:pos="2257"/>
              </w:tabs>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84" w:type="dxa"/>
            <w:vMerge w:val="continue"/>
            <w:shd w:val="clear" w:color="auto" w:fill="auto"/>
          </w:tcPr>
          <w:p>
            <w:pPr>
              <w:widowControl/>
              <w:spacing w:line="300" w:lineRule="exact"/>
              <w:jc w:val="center"/>
              <w:rPr>
                <w:rFonts w:ascii="仿宋" w:hAnsi="仿宋" w:eastAsia="仿宋" w:cs="仿宋"/>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2.6创新创业教育</w:t>
            </w: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2.6.1 创新创业教育工作体系与创新创业教育平台建设情况</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招生与就业工作处、创新创业学院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984" w:type="dxa"/>
            <w:vMerge w:val="continue"/>
            <w:shd w:val="clear" w:color="auto" w:fill="auto"/>
          </w:tcPr>
          <w:p>
            <w:pPr>
              <w:widowControl/>
              <w:spacing w:line="300" w:lineRule="exact"/>
              <w:jc w:val="left"/>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2.6.2 将创新创业教育贯穿于人才培养全过程、融入专业教育的举措与成效</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招生与就业工作处、创新创业学院、教务处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984" w:type="dxa"/>
            <w:vMerge w:val="continue"/>
            <w:shd w:val="clear" w:color="auto" w:fill="auto"/>
          </w:tcPr>
          <w:p>
            <w:pPr>
              <w:widowControl/>
              <w:spacing w:line="300" w:lineRule="exact"/>
              <w:jc w:val="left"/>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tabs>
                <w:tab w:val="left" w:pos="2257"/>
              </w:tabs>
              <w:spacing w:line="300" w:lineRule="exact"/>
              <w:rPr>
                <w:rFonts w:ascii="仿宋" w:hAnsi="仿宋" w:eastAsia="仿宋" w:cs="仿宋"/>
                <w:kern w:val="0"/>
                <w:sz w:val="24"/>
                <w:szCs w:val="24"/>
              </w:rPr>
            </w:pPr>
            <w:r>
              <w:rPr>
                <w:rFonts w:hint="eastAsia" w:ascii="仿宋" w:hAnsi="仿宋" w:eastAsia="仿宋" w:cs="仿宋"/>
                <w:kern w:val="0"/>
                <w:sz w:val="24"/>
                <w:szCs w:val="24"/>
              </w:rPr>
              <w:t>2.6.3 学生参与创新创业教育积极性及创新创业教育成果</w:t>
            </w:r>
            <w:r>
              <w:rPr>
                <w:rFonts w:hint="eastAsia" w:ascii="仿宋" w:hAnsi="仿宋" w:eastAsia="仿宋" w:cs="仿宋"/>
                <w:b/>
                <w:bCs/>
                <w:kern w:val="0"/>
                <w:sz w:val="24"/>
                <w:szCs w:val="24"/>
              </w:rPr>
              <w:t>（*）</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【必选】本科生参加各级各类创新创业实践活动人数及比例</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【必选】“互联网+”大学生创新创业大赛获奖数</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【可选】省级以上学科竞赛获奖学生人次数占学生总数的比例</w:t>
            </w:r>
          </w:p>
        </w:tc>
        <w:tc>
          <w:tcPr>
            <w:tcW w:w="2923" w:type="dxa"/>
            <w:vAlign w:val="center"/>
          </w:tcPr>
          <w:p>
            <w:pPr>
              <w:tabs>
                <w:tab w:val="left" w:pos="2257"/>
              </w:tabs>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招生与就业工作处、创新创业学院、教务处、学生工作部(处)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984" w:type="dxa"/>
            <w:vMerge w:val="restart"/>
            <w:shd w:val="clear" w:color="auto" w:fill="auto"/>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3.教学资源与利用</w:t>
            </w:r>
          </w:p>
          <w:p>
            <w:pPr>
              <w:widowControl/>
              <w:jc w:val="center"/>
              <w:rPr>
                <w:rFonts w:ascii="仿宋" w:hAnsi="仿宋" w:eastAsia="仿宋" w:cs="仿宋"/>
                <w:kern w:val="0"/>
                <w:sz w:val="24"/>
                <w:szCs w:val="24"/>
              </w:rPr>
            </w:pPr>
            <w:r>
              <w:rPr>
                <w:rFonts w:hint="eastAsia" w:ascii="仿宋" w:hAnsi="仿宋" w:eastAsia="仿宋" w:cs="仿宋"/>
                <w:b/>
                <w:kern w:val="0"/>
                <w:sz w:val="24"/>
                <w:szCs w:val="24"/>
              </w:rPr>
              <w:t>(</w:t>
            </w:r>
            <w:r>
              <w:rPr>
                <w:rFonts w:hint="eastAsia" w:ascii="仿宋" w:hAnsi="仿宋" w:eastAsia="仿宋" w:cs="仿宋"/>
                <w:b/>
                <w:w w:val="90"/>
                <w:kern w:val="0"/>
                <w:sz w:val="24"/>
                <w:szCs w:val="24"/>
              </w:rPr>
              <w:t>牵头单位：国有资产与实验室管理处（招投标管理中心）</w:t>
            </w:r>
            <w:r>
              <w:rPr>
                <w:rFonts w:hint="eastAsia" w:ascii="仿宋" w:hAnsi="仿宋" w:eastAsia="仿宋" w:cs="仿宋"/>
                <w:b/>
                <w:kern w:val="0"/>
                <w:sz w:val="24"/>
                <w:szCs w:val="24"/>
              </w:rPr>
              <w:t>)</w:t>
            </w: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3.2资源建设</w:t>
            </w:r>
          </w:p>
        </w:tc>
        <w:tc>
          <w:tcPr>
            <w:tcW w:w="1027" w:type="dxa"/>
            <w:shd w:val="clear" w:color="auto" w:fill="auto"/>
            <w:vAlign w:val="center"/>
          </w:tcPr>
          <w:p>
            <w:pPr>
              <w:tabs>
                <w:tab w:val="left" w:pos="2257"/>
              </w:tabs>
              <w:spacing w:line="300" w:lineRule="exact"/>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B 3.2.1</w:t>
            </w:r>
          </w:p>
        </w:tc>
        <w:tc>
          <w:tcPr>
            <w:tcW w:w="6727" w:type="dxa"/>
            <w:shd w:val="clear" w:color="auto" w:fill="auto"/>
          </w:tcPr>
          <w:p>
            <w:pPr>
              <w:widowControl/>
              <w:spacing w:line="300" w:lineRule="exac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B2 行业企业课程资源库、真实项目案例库建设及共享情况</w:t>
            </w:r>
            <w:r>
              <w:rPr>
                <w:rFonts w:hint="eastAsia" w:ascii="仿宋" w:hAnsi="仿宋" w:eastAsia="仿宋" w:cs="仿宋"/>
                <w:b/>
                <w:bCs/>
                <w:color w:val="auto"/>
                <w:kern w:val="0"/>
                <w:sz w:val="24"/>
                <w:szCs w:val="24"/>
                <w:highlight w:val="none"/>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984" w:type="dxa"/>
            <w:vMerge w:val="continue"/>
            <w:shd w:val="clear" w:color="auto" w:fill="auto"/>
          </w:tcPr>
          <w:p>
            <w:pPr>
              <w:widowControl/>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1027" w:type="dxa"/>
            <w:shd w:val="clear" w:color="auto" w:fill="auto"/>
            <w:vAlign w:val="center"/>
          </w:tcPr>
          <w:p>
            <w:pPr>
              <w:widowControl/>
              <w:spacing w:line="300" w:lineRule="exact"/>
              <w:jc w:val="left"/>
              <w:rPr>
                <w:rFonts w:ascii="仿宋" w:hAnsi="仿宋" w:eastAsia="仿宋" w:cs="仿宋"/>
                <w:kern w:val="0"/>
                <w:sz w:val="24"/>
                <w:szCs w:val="24"/>
              </w:rPr>
            </w:pPr>
            <w:r>
              <w:rPr>
                <w:rFonts w:hint="eastAsia" w:ascii="仿宋" w:hAnsi="仿宋" w:eastAsia="仿宋" w:cs="仿宋"/>
                <w:kern w:val="0"/>
                <w:sz w:val="24"/>
                <w:szCs w:val="24"/>
              </w:rPr>
              <w:t>B 3.2.2</w:t>
            </w:r>
          </w:p>
        </w:tc>
        <w:tc>
          <w:tcPr>
            <w:tcW w:w="6727" w:type="dxa"/>
            <w:shd w:val="clear" w:color="auto" w:fill="auto"/>
          </w:tcPr>
          <w:p>
            <w:pPr>
              <w:tabs>
                <w:tab w:val="left" w:pos="2257"/>
              </w:tabs>
              <w:spacing w:line="300" w:lineRule="exact"/>
              <w:rPr>
                <w:rFonts w:ascii="仿宋" w:hAnsi="仿宋" w:eastAsia="仿宋" w:cs="仿宋"/>
                <w:kern w:val="0"/>
                <w:sz w:val="24"/>
                <w:szCs w:val="24"/>
              </w:rPr>
            </w:pPr>
            <w:r>
              <w:rPr>
                <w:rFonts w:hint="eastAsia" w:ascii="仿宋" w:hAnsi="仿宋" w:eastAsia="仿宋" w:cs="仿宋"/>
                <w:kern w:val="0"/>
                <w:sz w:val="24"/>
                <w:szCs w:val="24"/>
              </w:rPr>
              <w:t>B2面向行业企业实际、产业发展需要的应用型教材建设情况</w:t>
            </w:r>
            <w:r>
              <w:rPr>
                <w:rFonts w:hint="eastAsia" w:ascii="仿宋" w:hAnsi="仿宋" w:eastAsia="仿宋" w:cs="仿宋"/>
                <w:b/>
                <w:bCs/>
                <w:kern w:val="0"/>
                <w:sz w:val="24"/>
                <w:szCs w:val="24"/>
              </w:rPr>
              <w:t>（*）</w:t>
            </w:r>
          </w:p>
        </w:tc>
        <w:tc>
          <w:tcPr>
            <w:tcW w:w="2923" w:type="dxa"/>
            <w:vAlign w:val="center"/>
          </w:tcPr>
          <w:p>
            <w:pPr>
              <w:tabs>
                <w:tab w:val="left" w:pos="2257"/>
              </w:tabs>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 w:author="龚波" w:date="2023-11-21T08:57: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82" w:hRule="atLeast"/>
          <w:jc w:val="center"/>
          <w:trPrChange w:id="1" w:author="龚波" w:date="2023-11-21T08:57:08Z">
            <w:trPr>
              <w:trHeight w:val="582" w:hRule="atLeast"/>
              <w:jc w:val="center"/>
            </w:trPr>
          </w:trPrChange>
        </w:trPr>
        <w:tc>
          <w:tcPr>
            <w:tcW w:w="1984" w:type="dxa"/>
            <w:vMerge w:val="continue"/>
            <w:shd w:val="clear" w:color="auto" w:fill="auto"/>
            <w:tcPrChange w:id="2" w:author="龚波" w:date="2023-11-21T08:57:08Z">
              <w:tcPr>
                <w:tcW w:w="1984" w:type="dxa"/>
                <w:vMerge w:val="continue"/>
                <w:shd w:val="clear" w:color="auto" w:fill="auto"/>
              </w:tcPr>
            </w:tcPrChange>
          </w:tcPr>
          <w:p>
            <w:pPr>
              <w:widowControl/>
              <w:spacing w:line="300" w:lineRule="exact"/>
              <w:jc w:val="center"/>
              <w:rPr>
                <w:rFonts w:ascii="仿宋" w:hAnsi="仿宋" w:eastAsia="仿宋" w:cs="仿宋"/>
                <w:kern w:val="0"/>
                <w:sz w:val="24"/>
                <w:szCs w:val="24"/>
              </w:rPr>
            </w:pPr>
          </w:p>
        </w:tc>
        <w:tc>
          <w:tcPr>
            <w:tcW w:w="1693" w:type="dxa"/>
            <w:vMerge w:val="continue"/>
            <w:shd w:val="clear" w:color="auto" w:fill="auto"/>
            <w:vAlign w:val="center"/>
            <w:tcPrChange w:id="3" w:author="龚波" w:date="2023-11-21T08:57:08Z">
              <w:tcPr>
                <w:tcW w:w="1693" w:type="dxa"/>
                <w:vMerge w:val="continue"/>
                <w:shd w:val="clear" w:color="auto" w:fill="auto"/>
                <w:vAlign w:val="center"/>
              </w:tcPr>
            </w:tcPrChange>
          </w:tcPr>
          <w:p>
            <w:pPr>
              <w:widowControl/>
              <w:spacing w:line="300" w:lineRule="exact"/>
              <w:jc w:val="center"/>
              <w:rPr>
                <w:rFonts w:ascii="仿宋" w:hAnsi="仿宋" w:eastAsia="仿宋" w:cs="仿宋"/>
                <w:kern w:val="0"/>
                <w:sz w:val="24"/>
                <w:szCs w:val="24"/>
              </w:rPr>
            </w:pPr>
          </w:p>
        </w:tc>
        <w:tc>
          <w:tcPr>
            <w:tcW w:w="1027" w:type="dxa"/>
            <w:shd w:val="clear" w:color="auto" w:fill="auto"/>
            <w:vAlign w:val="center"/>
            <w:tcPrChange w:id="4" w:author="龚波" w:date="2023-11-21T08:57:08Z">
              <w:tcPr>
                <w:tcW w:w="1027" w:type="dxa"/>
                <w:shd w:val="clear" w:color="auto" w:fill="auto"/>
                <w:vAlign w:val="center"/>
              </w:tcPr>
            </w:tcPrChange>
          </w:tcPr>
          <w:p>
            <w:pPr>
              <w:widowControl/>
              <w:spacing w:line="300" w:lineRule="exact"/>
              <w:jc w:val="left"/>
              <w:rPr>
                <w:rFonts w:ascii="仿宋" w:hAnsi="仿宋" w:eastAsia="仿宋" w:cs="仿宋"/>
                <w:kern w:val="0"/>
                <w:sz w:val="24"/>
                <w:szCs w:val="24"/>
              </w:rPr>
            </w:pPr>
            <w:r>
              <w:rPr>
                <w:rFonts w:hint="eastAsia" w:ascii="仿宋" w:hAnsi="仿宋" w:eastAsia="仿宋" w:cs="仿宋"/>
                <w:kern w:val="0"/>
                <w:sz w:val="24"/>
                <w:szCs w:val="24"/>
              </w:rPr>
              <w:t>K 3.2.3</w:t>
            </w:r>
          </w:p>
        </w:tc>
        <w:tc>
          <w:tcPr>
            <w:tcW w:w="6727" w:type="dxa"/>
            <w:shd w:val="clear" w:color="auto" w:fill="auto"/>
            <w:vAlign w:val="center"/>
            <w:tcPrChange w:id="5" w:author="龚波" w:date="2023-11-21T08:57:08Z">
              <w:tcPr>
                <w:tcW w:w="6727" w:type="dxa"/>
                <w:shd w:val="clear" w:color="auto" w:fill="auto"/>
              </w:tcPr>
            </w:tcPrChange>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适应“互联网+”课程教学需要的智慧教室、智能实验室等教学设施和条件建设及使用效果</w:t>
            </w:r>
            <w:r>
              <w:rPr>
                <w:rFonts w:hint="eastAsia" w:ascii="仿宋" w:hAnsi="仿宋" w:eastAsia="仿宋" w:cs="仿宋"/>
                <w:b/>
                <w:bCs/>
                <w:kern w:val="0"/>
                <w:sz w:val="24"/>
                <w:szCs w:val="24"/>
              </w:rPr>
              <w:t>（*）</w:t>
            </w:r>
          </w:p>
        </w:tc>
        <w:tc>
          <w:tcPr>
            <w:tcW w:w="2923" w:type="dxa"/>
            <w:vAlign w:val="center"/>
            <w:tcPrChange w:id="6" w:author="龚波" w:date="2023-11-21T08:57:08Z">
              <w:tcPr>
                <w:tcW w:w="2923" w:type="dxa"/>
                <w:vAlign w:val="center"/>
              </w:tcPr>
            </w:tcPrChange>
          </w:tcPr>
          <w:p>
            <w:pPr>
              <w:tabs>
                <w:tab w:val="left" w:pos="2257"/>
              </w:tabs>
              <w:spacing w:line="300" w:lineRule="exact"/>
              <w:jc w:val="center"/>
              <w:rPr>
                <w:rFonts w:ascii="仿宋" w:hAnsi="仿宋" w:eastAsia="仿宋" w:cs="仿宋"/>
                <w:kern w:val="0"/>
                <w:sz w:val="24"/>
                <w:szCs w:val="24"/>
              </w:rPr>
            </w:pPr>
            <w:r>
              <w:rPr>
                <w:rFonts w:hint="eastAsia" w:ascii="仿宋" w:hAnsi="仿宋" w:eastAsia="仿宋" w:cs="仿宋"/>
                <w:w w:val="90"/>
                <w:kern w:val="0"/>
                <w:sz w:val="24"/>
                <w:szCs w:val="24"/>
              </w:rPr>
              <w:t>国有资产与实验室管理处（招投标管理中心）</w:t>
            </w:r>
            <w:r>
              <w:rPr>
                <w:rFonts w:hint="eastAsia" w:ascii="仿宋" w:hAnsi="仿宋" w:eastAsia="仿宋" w:cs="仿宋"/>
                <w:kern w:val="0"/>
                <w:sz w:val="24"/>
                <w:szCs w:val="24"/>
              </w:rPr>
              <w:t>、信息化建设与管理工作处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 w:author="龚波" w:date="2023-11-21T08:5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11" w:hRule="atLeast"/>
          <w:jc w:val="center"/>
          <w:trPrChange w:id="7" w:author="龚波" w:date="2023-11-21T08:57:00Z">
            <w:trPr>
              <w:trHeight w:val="411" w:hRule="atLeast"/>
              <w:jc w:val="center"/>
            </w:trPr>
          </w:trPrChange>
        </w:trPr>
        <w:tc>
          <w:tcPr>
            <w:tcW w:w="1984" w:type="dxa"/>
            <w:vMerge w:val="continue"/>
            <w:shd w:val="clear" w:color="auto" w:fill="auto"/>
            <w:tcPrChange w:id="8" w:author="龚波" w:date="2023-11-21T08:57:00Z">
              <w:tcPr>
                <w:tcW w:w="1984" w:type="dxa"/>
                <w:vMerge w:val="continue"/>
                <w:shd w:val="clear" w:color="auto" w:fill="auto"/>
              </w:tcPr>
            </w:tcPrChange>
          </w:tcPr>
          <w:p>
            <w:pPr>
              <w:widowControl/>
              <w:spacing w:line="300" w:lineRule="exact"/>
              <w:jc w:val="center"/>
              <w:rPr>
                <w:rFonts w:ascii="仿宋" w:hAnsi="仿宋" w:eastAsia="仿宋" w:cs="仿宋"/>
                <w:kern w:val="0"/>
                <w:sz w:val="24"/>
                <w:szCs w:val="24"/>
              </w:rPr>
            </w:pPr>
          </w:p>
        </w:tc>
        <w:tc>
          <w:tcPr>
            <w:tcW w:w="1693" w:type="dxa"/>
            <w:vMerge w:val="continue"/>
            <w:shd w:val="clear" w:color="auto" w:fill="auto"/>
            <w:vAlign w:val="center"/>
            <w:tcPrChange w:id="9" w:author="龚波" w:date="2023-11-21T08:57:00Z">
              <w:tcPr>
                <w:tcW w:w="1693" w:type="dxa"/>
                <w:vMerge w:val="continue"/>
                <w:shd w:val="clear" w:color="auto" w:fill="auto"/>
                <w:vAlign w:val="center"/>
              </w:tcPr>
            </w:tcPrChange>
          </w:tcPr>
          <w:p>
            <w:pPr>
              <w:widowControl/>
              <w:spacing w:line="300" w:lineRule="exact"/>
              <w:jc w:val="center"/>
              <w:rPr>
                <w:rFonts w:ascii="仿宋" w:hAnsi="仿宋" w:eastAsia="仿宋" w:cs="仿宋"/>
                <w:kern w:val="0"/>
                <w:sz w:val="24"/>
                <w:szCs w:val="24"/>
              </w:rPr>
            </w:pPr>
          </w:p>
        </w:tc>
        <w:tc>
          <w:tcPr>
            <w:tcW w:w="1027" w:type="dxa"/>
            <w:shd w:val="clear" w:color="auto" w:fill="auto"/>
            <w:vAlign w:val="center"/>
            <w:tcPrChange w:id="10" w:author="龚波" w:date="2023-11-21T08:57:00Z">
              <w:tcPr>
                <w:tcW w:w="1027" w:type="dxa"/>
                <w:shd w:val="clear" w:color="auto" w:fill="auto"/>
                <w:vAlign w:val="center"/>
              </w:tcPr>
            </w:tcPrChange>
          </w:tcPr>
          <w:p>
            <w:pPr>
              <w:tabs>
                <w:tab w:val="left" w:pos="2257"/>
              </w:tabs>
              <w:spacing w:line="300" w:lineRule="exact"/>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K 3.2.4</w:t>
            </w:r>
          </w:p>
        </w:tc>
        <w:tc>
          <w:tcPr>
            <w:tcW w:w="6727" w:type="dxa"/>
            <w:shd w:val="clear" w:color="auto" w:fill="auto"/>
            <w:vAlign w:val="center"/>
            <w:tcPrChange w:id="11" w:author="龚波" w:date="2023-11-21T08:57:00Z">
              <w:tcPr>
                <w:tcW w:w="6727" w:type="dxa"/>
                <w:shd w:val="clear" w:color="auto" w:fill="auto"/>
              </w:tcPr>
            </w:tcPrChange>
          </w:tcPr>
          <w:p>
            <w:pPr>
              <w:widowControl/>
              <w:spacing w:line="300" w:lineRule="exac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K2 产业技术发展成果、产学研合作项目转化为教学资源情况</w:t>
            </w:r>
            <w:r>
              <w:rPr>
                <w:rFonts w:hint="eastAsia" w:ascii="仿宋" w:hAnsi="仿宋" w:eastAsia="仿宋" w:cs="仿宋"/>
                <w:b/>
                <w:bCs/>
                <w:color w:val="auto"/>
                <w:kern w:val="0"/>
                <w:sz w:val="24"/>
                <w:szCs w:val="24"/>
                <w:highlight w:val="none"/>
              </w:rPr>
              <w:t>（*）</w:t>
            </w:r>
          </w:p>
        </w:tc>
        <w:tc>
          <w:tcPr>
            <w:tcW w:w="2923" w:type="dxa"/>
            <w:vAlign w:val="center"/>
            <w:tcPrChange w:id="12" w:author="龚波" w:date="2023-11-21T08:57:00Z">
              <w:tcPr>
                <w:tcW w:w="2923" w:type="dxa"/>
                <w:vAlign w:val="center"/>
              </w:tcPr>
            </w:tcPrChange>
          </w:tcPr>
          <w:p>
            <w:pPr>
              <w:widowControl/>
              <w:spacing w:line="300" w:lineRule="exact"/>
              <w:jc w:val="center"/>
              <w:rPr>
                <w:rFonts w:ascii="仿宋" w:hAnsi="仿宋" w:eastAsia="微软雅黑" w:cs="仿宋"/>
                <w:kern w:val="0"/>
                <w:sz w:val="24"/>
                <w:szCs w:val="24"/>
              </w:rPr>
            </w:pPr>
            <w:r>
              <w:rPr>
                <w:rFonts w:hint="eastAsia" w:ascii="仿宋" w:hAnsi="仿宋" w:eastAsia="仿宋" w:cs="仿宋"/>
                <w:kern w:val="0"/>
                <w:sz w:val="24"/>
                <w:szCs w:val="24"/>
              </w:rPr>
              <w:t xml:space="preserve"> 科学研究发展院、教务处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984" w:type="dxa"/>
            <w:vMerge w:val="restart"/>
            <w:shd w:val="clear" w:color="auto" w:fill="auto"/>
            <w:vAlign w:val="center"/>
          </w:tcPr>
          <w:p>
            <w:pPr>
              <w:spacing w:line="300" w:lineRule="exact"/>
              <w:jc w:val="center"/>
              <w:rPr>
                <w:rFonts w:ascii="仿宋" w:hAnsi="仿宋" w:eastAsia="仿宋" w:cs="仿宋"/>
                <w:kern w:val="0"/>
                <w:sz w:val="24"/>
                <w:szCs w:val="24"/>
              </w:rPr>
            </w:pPr>
          </w:p>
          <w:p>
            <w:pPr>
              <w:spacing w:line="300" w:lineRule="exact"/>
              <w:jc w:val="center"/>
              <w:rPr>
                <w:rFonts w:ascii="仿宋" w:hAnsi="仿宋" w:eastAsia="仿宋" w:cs="仿宋"/>
                <w:kern w:val="0"/>
                <w:sz w:val="24"/>
                <w:szCs w:val="24"/>
              </w:rPr>
            </w:pPr>
          </w:p>
          <w:p>
            <w:pPr>
              <w:spacing w:line="300" w:lineRule="exact"/>
              <w:jc w:val="center"/>
              <w:rPr>
                <w:rFonts w:ascii="仿宋" w:hAnsi="仿宋" w:eastAsia="仿宋" w:cs="仿宋"/>
                <w:kern w:val="0"/>
                <w:sz w:val="24"/>
                <w:szCs w:val="24"/>
              </w:rPr>
            </w:pPr>
          </w:p>
          <w:p>
            <w:pPr>
              <w:spacing w:line="300" w:lineRule="exact"/>
              <w:jc w:val="center"/>
              <w:rPr>
                <w:rFonts w:ascii="仿宋" w:hAnsi="仿宋" w:eastAsia="仿宋" w:cs="仿宋"/>
                <w:kern w:val="0"/>
                <w:sz w:val="24"/>
                <w:szCs w:val="24"/>
              </w:rPr>
            </w:pPr>
          </w:p>
          <w:p>
            <w:pPr>
              <w:spacing w:line="300" w:lineRule="exact"/>
              <w:jc w:val="center"/>
              <w:rPr>
                <w:rFonts w:ascii="仿宋" w:hAnsi="仿宋" w:eastAsia="仿宋" w:cs="仿宋"/>
                <w:kern w:val="0"/>
                <w:sz w:val="24"/>
                <w:szCs w:val="24"/>
              </w:rPr>
            </w:pPr>
          </w:p>
          <w:p>
            <w:pPr>
              <w:spacing w:line="300" w:lineRule="exact"/>
              <w:jc w:val="center"/>
              <w:rPr>
                <w:rFonts w:ascii="仿宋" w:hAnsi="仿宋" w:eastAsia="仿宋" w:cs="仿宋"/>
                <w:kern w:val="0"/>
                <w:sz w:val="24"/>
                <w:szCs w:val="24"/>
              </w:rPr>
            </w:pPr>
          </w:p>
          <w:p>
            <w:pPr>
              <w:spacing w:line="300" w:lineRule="exact"/>
              <w:jc w:val="center"/>
              <w:rPr>
                <w:rFonts w:ascii="仿宋" w:hAnsi="仿宋" w:eastAsia="仿宋" w:cs="仿宋"/>
                <w:kern w:val="0"/>
                <w:sz w:val="24"/>
                <w:szCs w:val="24"/>
              </w:rPr>
            </w:pPr>
          </w:p>
          <w:p>
            <w:pPr>
              <w:spacing w:line="300" w:lineRule="exact"/>
              <w:jc w:val="center"/>
              <w:rPr>
                <w:rFonts w:ascii="仿宋" w:hAnsi="仿宋" w:eastAsia="仿宋" w:cs="仿宋"/>
                <w:kern w:val="0"/>
                <w:sz w:val="24"/>
                <w:szCs w:val="24"/>
              </w:rPr>
            </w:pPr>
          </w:p>
          <w:p>
            <w:pPr>
              <w:spacing w:line="300" w:lineRule="exact"/>
              <w:jc w:val="center"/>
              <w:rPr>
                <w:rFonts w:ascii="仿宋" w:hAnsi="仿宋" w:eastAsia="仿宋" w:cs="仿宋"/>
                <w:kern w:val="0"/>
                <w:sz w:val="24"/>
                <w:szCs w:val="24"/>
              </w:rPr>
            </w:pPr>
          </w:p>
          <w:p>
            <w:pPr>
              <w:spacing w:line="300" w:lineRule="exact"/>
              <w:jc w:val="center"/>
              <w:rPr>
                <w:rFonts w:ascii="仿宋" w:hAnsi="仿宋" w:eastAsia="仿宋" w:cs="仿宋"/>
                <w:kern w:val="0"/>
                <w:sz w:val="24"/>
                <w:szCs w:val="24"/>
              </w:rPr>
            </w:pPr>
          </w:p>
          <w:p>
            <w:pPr>
              <w:spacing w:line="300" w:lineRule="exact"/>
              <w:jc w:val="center"/>
              <w:rPr>
                <w:rFonts w:ascii="仿宋" w:hAnsi="仿宋" w:eastAsia="仿宋" w:cs="仿宋"/>
                <w:kern w:val="0"/>
                <w:sz w:val="24"/>
                <w:szCs w:val="24"/>
              </w:rPr>
            </w:pPr>
          </w:p>
          <w:p>
            <w:pPr>
              <w:spacing w:line="300" w:lineRule="exact"/>
              <w:jc w:val="center"/>
              <w:rPr>
                <w:rFonts w:ascii="仿宋" w:hAnsi="仿宋" w:eastAsia="仿宋" w:cs="仿宋"/>
                <w:kern w:val="0"/>
                <w:sz w:val="24"/>
                <w:szCs w:val="24"/>
              </w:rPr>
            </w:pPr>
          </w:p>
          <w:p>
            <w:pPr>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4.教师队伍</w:t>
            </w:r>
          </w:p>
          <w:p>
            <w:pPr>
              <w:spacing w:line="300" w:lineRule="exact"/>
              <w:jc w:val="center"/>
              <w:rPr>
                <w:rFonts w:ascii="仿宋" w:hAnsi="仿宋" w:eastAsia="仿宋" w:cs="仿宋"/>
                <w:kern w:val="0"/>
                <w:sz w:val="24"/>
                <w:szCs w:val="24"/>
              </w:rPr>
            </w:pPr>
            <w:r>
              <w:rPr>
                <w:rFonts w:hint="eastAsia" w:ascii="仿宋" w:hAnsi="仿宋" w:eastAsia="仿宋" w:cs="仿宋"/>
                <w:b/>
                <w:kern w:val="0"/>
                <w:sz w:val="24"/>
                <w:szCs w:val="24"/>
              </w:rPr>
              <w:t>(</w:t>
            </w:r>
            <w:r>
              <w:rPr>
                <w:rFonts w:hint="eastAsia" w:ascii="仿宋" w:hAnsi="仿宋" w:eastAsia="仿宋" w:cs="仿宋"/>
                <w:b/>
                <w:w w:val="90"/>
                <w:kern w:val="0"/>
                <w:sz w:val="24"/>
                <w:szCs w:val="24"/>
              </w:rPr>
              <w:t>牵头单位： 教师工作部、人事处、人才工作办公室</w:t>
            </w:r>
            <w:r>
              <w:rPr>
                <w:rFonts w:hint="eastAsia" w:ascii="仿宋" w:hAnsi="仿宋" w:eastAsia="仿宋" w:cs="仿宋"/>
                <w:b/>
                <w:kern w:val="0"/>
                <w:sz w:val="24"/>
                <w:szCs w:val="24"/>
              </w:rPr>
              <w:t>)</w:t>
            </w: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4.1师德师风</w:t>
            </w: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4.1.1 保障把教师思想政治建设放在首位、把师德师风作为评价教师的第一标准，强化师德教育、加强师德宣传、严格考核管理、加强制度建设，落实师德考核贯穿于教育教学全过程等方面的情况</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组织部、党校、机关党委、 教师工作部、人事处、人才工作办公室、党委宣传部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4.1.2 教师在争做“四有”好老师、四个“引路人”，自觉遵守《新时代高校教师职业行为十项准则》等方面的情况</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 xml:space="preserve"> 教师工作部、人事处、人才工作办公室、教务处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4.2教学能力</w:t>
            </w:r>
          </w:p>
        </w:tc>
        <w:tc>
          <w:tcPr>
            <w:tcW w:w="1027" w:type="dxa"/>
            <w:shd w:val="clear" w:color="auto" w:fill="auto"/>
            <w:vAlign w:val="center"/>
          </w:tcPr>
          <w:p>
            <w:pPr>
              <w:widowControl/>
              <w:spacing w:line="300" w:lineRule="exact"/>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B 4.2.1</w:t>
            </w:r>
          </w:p>
        </w:tc>
        <w:tc>
          <w:tcPr>
            <w:tcW w:w="6727" w:type="dxa"/>
            <w:shd w:val="clear" w:color="auto" w:fill="auto"/>
            <w:vAlign w:val="center"/>
          </w:tcPr>
          <w:p>
            <w:pPr>
              <w:spacing w:line="300" w:lineRule="exac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B2专任教师的专业水平、教学能力、产学研用能力</w:t>
            </w:r>
          </w:p>
        </w:tc>
        <w:tc>
          <w:tcPr>
            <w:tcW w:w="2923" w:type="dxa"/>
            <w:vAlign w:val="center"/>
          </w:tcPr>
          <w:p>
            <w:pPr>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 xml:space="preserve"> 教师工作部、人事处、人才工作办公室、 科学研究发展院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4.2.2 提升教师教书育人能力和水平的措施</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教师工作部、人事处、人才工作办公室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4.3教学投入</w:t>
            </w:r>
          </w:p>
        </w:tc>
        <w:tc>
          <w:tcPr>
            <w:tcW w:w="7754" w:type="dxa"/>
            <w:gridSpan w:val="2"/>
            <w:shd w:val="clear" w:color="auto" w:fill="auto"/>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4.3.1 教师投入教学、教授全员为本科生授课的激励与约束机制建立情况及实施效果</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【必选】主讲本科课程教授占教授总数的比例</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【必选】教授主讲本科课程人均学时数</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教师工作部、人事处、人才工作办公室、教务处、各二级学院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984" w:type="dxa"/>
            <w:vMerge w:val="continue"/>
            <w:shd w:val="clear" w:color="auto" w:fill="auto"/>
            <w:vAlign w:val="center"/>
          </w:tcPr>
          <w:p>
            <w:pPr>
              <w:widowControl/>
              <w:spacing w:line="300" w:lineRule="exact"/>
              <w:jc w:val="left"/>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4.3.2 教师特别是教授和副教授开展教学研究、参与教学改革与建设情况及成效</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【必选】教授、副教授担任专业负责人的专业占专业总数的比例</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1984" w:type="dxa"/>
            <w:vMerge w:val="continue"/>
            <w:shd w:val="clear" w:color="auto" w:fill="auto"/>
            <w:vAlign w:val="center"/>
          </w:tcPr>
          <w:p>
            <w:pPr>
              <w:widowControl/>
              <w:spacing w:line="300" w:lineRule="exact"/>
              <w:jc w:val="left"/>
              <w:rPr>
                <w:rFonts w:ascii="仿宋" w:hAnsi="仿宋" w:eastAsia="仿宋" w:cs="仿宋"/>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4.4教师发展</w:t>
            </w:r>
          </w:p>
        </w:tc>
        <w:tc>
          <w:tcPr>
            <w:tcW w:w="7754" w:type="dxa"/>
            <w:gridSpan w:val="2"/>
            <w:shd w:val="clear" w:color="auto" w:fill="auto"/>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4.4.1 重视教师培训与职业发展，把习近平总书记关于教育的重要论述作为核心培训课程，把《习近平总书记教育重要论述讲义》作为核心培训教材，加强思政与党务工作队伍建设的举措与成效</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 xml:space="preserve"> 教师工作部、人事处、人才工作办公室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1984" w:type="dxa"/>
            <w:vMerge w:val="continue"/>
            <w:shd w:val="clear" w:color="auto" w:fill="auto"/>
            <w:vAlign w:val="center"/>
          </w:tcPr>
          <w:p>
            <w:pPr>
              <w:widowControl/>
              <w:spacing w:line="300" w:lineRule="exact"/>
              <w:jc w:val="left"/>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4.4.2 加强教师教学发展中心、基层教学组织和青年教师队伍建设举措与成效</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【必选】设有基层教学组织的专业占专业总数的比例</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【可选】教师发展中心培训本校教师的比例</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 xml:space="preserve"> 教师工作部、人事处、人才工作办公室、教务处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1984" w:type="dxa"/>
            <w:vMerge w:val="continue"/>
            <w:shd w:val="clear" w:color="auto" w:fill="auto"/>
            <w:vAlign w:val="center"/>
          </w:tcPr>
          <w:p>
            <w:pPr>
              <w:widowControl/>
              <w:spacing w:line="300" w:lineRule="exact"/>
              <w:jc w:val="left"/>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1027" w:type="dxa"/>
            <w:shd w:val="clear" w:color="auto" w:fill="auto"/>
            <w:vAlign w:val="center"/>
          </w:tcPr>
          <w:p>
            <w:pPr>
              <w:widowControl/>
              <w:spacing w:line="300" w:lineRule="exact"/>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B 4.4.3</w:t>
            </w:r>
          </w:p>
        </w:tc>
        <w:tc>
          <w:tcPr>
            <w:tcW w:w="6727" w:type="dxa"/>
            <w:shd w:val="clear" w:color="auto" w:fill="auto"/>
            <w:vAlign w:val="center"/>
          </w:tcPr>
          <w:p>
            <w:pPr>
              <w:spacing w:line="300" w:lineRule="exac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B2提升教师教学能力、产学研用能力、信息技术应用能力，鼓励教师到业界实践、挂职和承担横向课题的政策措施</w:t>
            </w:r>
          </w:p>
        </w:tc>
        <w:tc>
          <w:tcPr>
            <w:tcW w:w="2923" w:type="dxa"/>
            <w:vAlign w:val="center"/>
          </w:tcPr>
          <w:p>
            <w:pPr>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 xml:space="preserve"> 教师工作部、人事处、人才工作办公室、 科学研究发展院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984" w:type="dxa"/>
            <w:vMerge w:val="continue"/>
            <w:shd w:val="clear" w:color="auto" w:fill="auto"/>
          </w:tcPr>
          <w:p>
            <w:pPr>
              <w:widowControl/>
              <w:spacing w:line="300" w:lineRule="exact"/>
              <w:jc w:val="left"/>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1027" w:type="dxa"/>
            <w:shd w:val="clear" w:color="auto" w:fill="auto"/>
            <w:vAlign w:val="center"/>
          </w:tcPr>
          <w:p>
            <w:pPr>
              <w:widowControl/>
              <w:spacing w:line="300" w:lineRule="exact"/>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B 4.4.4</w:t>
            </w:r>
          </w:p>
        </w:tc>
        <w:tc>
          <w:tcPr>
            <w:tcW w:w="6727" w:type="dxa"/>
            <w:shd w:val="clear" w:color="auto" w:fill="auto"/>
          </w:tcPr>
          <w:p>
            <w:pPr>
              <w:spacing w:line="300" w:lineRule="exac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B2双师双能型教师队伍和实践教学教师队伍管理与建设情况</w:t>
            </w:r>
          </w:p>
          <w:p>
            <w:pPr>
              <w:widowControl/>
              <w:spacing w:line="300" w:lineRule="exac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【可选】专任教师中双师双能型教师的比例</w:t>
            </w:r>
            <w:r>
              <w:rPr>
                <w:rFonts w:hint="eastAsia" w:ascii="仿宋" w:hAnsi="仿宋" w:eastAsia="仿宋" w:cs="仿宋"/>
                <w:b/>
                <w:bCs/>
                <w:color w:val="auto"/>
                <w:kern w:val="0"/>
                <w:sz w:val="24"/>
                <w:szCs w:val="24"/>
                <w:highlight w:val="none"/>
              </w:rPr>
              <w:t>（*）</w:t>
            </w:r>
          </w:p>
        </w:tc>
        <w:tc>
          <w:tcPr>
            <w:tcW w:w="2923" w:type="dxa"/>
            <w:vAlign w:val="center"/>
          </w:tcPr>
          <w:p>
            <w:pPr>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 xml:space="preserve"> 教师工作部、人事处、人才工作办公室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984" w:type="dxa"/>
            <w:vMerge w:val="continue"/>
            <w:shd w:val="clear" w:color="auto" w:fill="auto"/>
          </w:tcPr>
          <w:p>
            <w:pPr>
              <w:widowControl/>
              <w:spacing w:line="300" w:lineRule="exact"/>
              <w:jc w:val="left"/>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spacing w:line="300" w:lineRule="exact"/>
              <w:rPr>
                <w:rFonts w:ascii="仿宋" w:hAnsi="仿宋" w:eastAsia="仿宋" w:cs="仿宋"/>
                <w:kern w:val="0"/>
                <w:sz w:val="24"/>
                <w:szCs w:val="24"/>
              </w:rPr>
            </w:pPr>
            <w:r>
              <w:rPr>
                <w:rFonts w:hint="eastAsia" w:ascii="仿宋" w:hAnsi="仿宋" w:eastAsia="仿宋" w:cs="仿宋"/>
                <w:kern w:val="0"/>
                <w:sz w:val="24"/>
                <w:szCs w:val="24"/>
              </w:rPr>
              <w:t>K 4.4.5 教师赴国（境）外交流、访学、参加国际会议、合作研究等情况</w:t>
            </w:r>
          </w:p>
        </w:tc>
        <w:tc>
          <w:tcPr>
            <w:tcW w:w="2923" w:type="dxa"/>
            <w:vAlign w:val="center"/>
          </w:tcPr>
          <w:p>
            <w:pPr>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 xml:space="preserve"> 国际交流合作处、国际教育学院、港澳台办公室、 科学研究发展院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984" w:type="dxa"/>
            <w:vMerge w:val="restart"/>
            <w:shd w:val="clear" w:color="auto" w:fill="auto"/>
            <w:vAlign w:val="center"/>
          </w:tcPr>
          <w:p>
            <w:pPr>
              <w:widowControl/>
              <w:spacing w:line="300" w:lineRule="exact"/>
              <w:jc w:val="center"/>
              <w:rPr>
                <w:rFonts w:ascii="仿宋" w:hAnsi="仿宋" w:eastAsia="仿宋" w:cs="仿宋"/>
                <w:kern w:val="0"/>
                <w:sz w:val="24"/>
                <w:szCs w:val="24"/>
              </w:rPr>
            </w:pPr>
          </w:p>
          <w:p>
            <w:pPr>
              <w:widowControl/>
              <w:spacing w:line="300" w:lineRule="exact"/>
              <w:jc w:val="center"/>
              <w:rPr>
                <w:rFonts w:ascii="仿宋" w:hAnsi="仿宋" w:eastAsia="仿宋" w:cs="仿宋"/>
                <w:kern w:val="0"/>
                <w:sz w:val="24"/>
                <w:szCs w:val="24"/>
              </w:rPr>
            </w:pPr>
          </w:p>
          <w:p>
            <w:pPr>
              <w:widowControl/>
              <w:spacing w:line="300" w:lineRule="exact"/>
              <w:jc w:val="center"/>
              <w:rPr>
                <w:rFonts w:ascii="仿宋" w:hAnsi="仿宋" w:eastAsia="仿宋" w:cs="仿宋"/>
                <w:kern w:val="0"/>
                <w:sz w:val="24"/>
                <w:szCs w:val="24"/>
              </w:rPr>
            </w:pPr>
          </w:p>
          <w:p>
            <w:pPr>
              <w:widowControl/>
              <w:spacing w:line="300" w:lineRule="exact"/>
              <w:jc w:val="center"/>
              <w:rPr>
                <w:rFonts w:ascii="仿宋" w:hAnsi="仿宋" w:eastAsia="仿宋" w:cs="仿宋"/>
                <w:kern w:val="0"/>
                <w:sz w:val="24"/>
                <w:szCs w:val="24"/>
              </w:rPr>
            </w:pPr>
          </w:p>
          <w:p>
            <w:pPr>
              <w:widowControl/>
              <w:spacing w:line="300" w:lineRule="exact"/>
              <w:jc w:val="center"/>
              <w:rPr>
                <w:rFonts w:ascii="仿宋" w:hAnsi="仿宋" w:eastAsia="仿宋" w:cs="仿宋"/>
                <w:kern w:val="0"/>
                <w:sz w:val="24"/>
                <w:szCs w:val="24"/>
              </w:rPr>
            </w:pPr>
          </w:p>
          <w:p>
            <w:pPr>
              <w:widowControl/>
              <w:spacing w:line="300" w:lineRule="exact"/>
              <w:jc w:val="center"/>
              <w:rPr>
                <w:rFonts w:ascii="仿宋" w:hAnsi="仿宋" w:eastAsia="仿宋" w:cs="仿宋"/>
                <w:kern w:val="0"/>
                <w:sz w:val="24"/>
                <w:szCs w:val="24"/>
              </w:rPr>
            </w:pPr>
          </w:p>
          <w:p>
            <w:pPr>
              <w:widowControl/>
              <w:spacing w:line="300" w:lineRule="exact"/>
              <w:jc w:val="center"/>
              <w:rPr>
                <w:rFonts w:ascii="仿宋" w:hAnsi="仿宋" w:eastAsia="仿宋" w:cs="仿宋"/>
                <w:kern w:val="0"/>
                <w:sz w:val="24"/>
                <w:szCs w:val="24"/>
              </w:rPr>
            </w:pPr>
          </w:p>
          <w:p>
            <w:pPr>
              <w:widowControl/>
              <w:spacing w:line="300" w:lineRule="exact"/>
              <w:jc w:val="center"/>
              <w:rPr>
                <w:rFonts w:ascii="仿宋" w:hAnsi="仿宋" w:eastAsia="仿宋" w:cs="仿宋"/>
                <w:kern w:val="0"/>
                <w:sz w:val="24"/>
                <w:szCs w:val="24"/>
              </w:rPr>
            </w:pPr>
          </w:p>
          <w:p>
            <w:pPr>
              <w:widowControl/>
              <w:spacing w:line="300" w:lineRule="exact"/>
              <w:jc w:val="center"/>
              <w:rPr>
                <w:rFonts w:ascii="仿宋" w:hAnsi="仿宋" w:eastAsia="仿宋" w:cs="仿宋"/>
                <w:kern w:val="0"/>
                <w:sz w:val="24"/>
                <w:szCs w:val="24"/>
              </w:rPr>
            </w:pPr>
          </w:p>
          <w:p>
            <w:pPr>
              <w:widowControl/>
              <w:spacing w:line="300" w:lineRule="exact"/>
              <w:jc w:val="center"/>
              <w:rPr>
                <w:rFonts w:ascii="仿宋" w:hAnsi="仿宋" w:eastAsia="仿宋" w:cs="仿宋"/>
                <w:kern w:val="0"/>
                <w:sz w:val="24"/>
                <w:szCs w:val="24"/>
              </w:rPr>
            </w:pPr>
          </w:p>
          <w:p>
            <w:pPr>
              <w:widowControl/>
              <w:spacing w:line="300" w:lineRule="exact"/>
              <w:jc w:val="center"/>
              <w:rPr>
                <w:rFonts w:ascii="仿宋" w:hAnsi="仿宋" w:eastAsia="仿宋" w:cs="仿宋"/>
                <w:kern w:val="0"/>
                <w:sz w:val="24"/>
                <w:szCs w:val="24"/>
              </w:rPr>
            </w:pPr>
          </w:p>
          <w:p>
            <w:pPr>
              <w:widowControl/>
              <w:spacing w:line="300" w:lineRule="exact"/>
              <w:jc w:val="center"/>
              <w:rPr>
                <w:rFonts w:ascii="仿宋" w:hAnsi="仿宋" w:eastAsia="仿宋" w:cs="仿宋"/>
                <w:kern w:val="0"/>
                <w:sz w:val="24"/>
                <w:szCs w:val="24"/>
              </w:rPr>
            </w:pPr>
          </w:p>
          <w:p>
            <w:pPr>
              <w:widowControl/>
              <w:spacing w:line="300" w:lineRule="exact"/>
              <w:jc w:val="center"/>
              <w:rPr>
                <w:rFonts w:ascii="仿宋" w:hAnsi="仿宋" w:eastAsia="仿宋" w:cs="仿宋"/>
                <w:kern w:val="0"/>
                <w:sz w:val="24"/>
                <w:szCs w:val="24"/>
              </w:rPr>
            </w:pPr>
          </w:p>
          <w:p>
            <w:pPr>
              <w:widowControl/>
              <w:spacing w:line="300" w:lineRule="exact"/>
              <w:jc w:val="center"/>
              <w:rPr>
                <w:rFonts w:ascii="仿宋" w:hAnsi="仿宋" w:eastAsia="仿宋" w:cs="仿宋"/>
                <w:kern w:val="0"/>
                <w:sz w:val="24"/>
                <w:szCs w:val="24"/>
              </w:rPr>
            </w:pPr>
          </w:p>
          <w:p>
            <w:pPr>
              <w:widowControl/>
              <w:spacing w:line="300" w:lineRule="exact"/>
              <w:jc w:val="center"/>
              <w:rPr>
                <w:rFonts w:ascii="仿宋" w:hAnsi="仿宋" w:eastAsia="仿宋" w:cs="仿宋"/>
                <w:kern w:val="0"/>
                <w:sz w:val="24"/>
                <w:szCs w:val="24"/>
              </w:rPr>
            </w:pPr>
          </w:p>
          <w:p>
            <w:pPr>
              <w:widowControl/>
              <w:spacing w:line="300" w:lineRule="exact"/>
              <w:jc w:val="center"/>
              <w:rPr>
                <w:rFonts w:ascii="仿宋" w:hAnsi="仿宋" w:eastAsia="仿宋" w:cs="仿宋"/>
                <w:kern w:val="0"/>
                <w:sz w:val="24"/>
                <w:szCs w:val="24"/>
              </w:rPr>
            </w:pPr>
          </w:p>
          <w:p>
            <w:pPr>
              <w:widowControl/>
              <w:spacing w:line="300" w:lineRule="exact"/>
              <w:jc w:val="center"/>
              <w:rPr>
                <w:rFonts w:ascii="仿宋" w:hAnsi="仿宋" w:eastAsia="仿宋" w:cs="仿宋"/>
                <w:kern w:val="0"/>
                <w:sz w:val="24"/>
                <w:szCs w:val="24"/>
              </w:rPr>
            </w:pPr>
          </w:p>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5.学生发展</w:t>
            </w:r>
          </w:p>
          <w:p>
            <w:pPr>
              <w:widowControl/>
              <w:spacing w:line="300" w:lineRule="exact"/>
              <w:jc w:val="center"/>
              <w:rPr>
                <w:rFonts w:ascii="仿宋" w:hAnsi="仿宋" w:eastAsia="仿宋" w:cs="仿宋"/>
                <w:kern w:val="0"/>
                <w:sz w:val="24"/>
                <w:szCs w:val="24"/>
              </w:rPr>
            </w:pPr>
            <w:r>
              <w:rPr>
                <w:rFonts w:hint="eastAsia" w:ascii="仿宋" w:hAnsi="仿宋" w:eastAsia="仿宋" w:cs="仿宋"/>
                <w:b/>
                <w:kern w:val="0"/>
                <w:sz w:val="24"/>
                <w:szCs w:val="24"/>
              </w:rPr>
              <w:t>(牵头单位：学生工作部(处))</w:t>
            </w:r>
          </w:p>
        </w:tc>
        <w:tc>
          <w:tcPr>
            <w:tcW w:w="1693" w:type="dxa"/>
            <w:vMerge w:val="restart"/>
            <w:shd w:val="clear" w:color="auto" w:fill="auto"/>
            <w:vAlign w:val="center"/>
          </w:tcPr>
          <w:p>
            <w:pPr>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5.1理想信念</w:t>
            </w: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5.1.1 学生理想信念和品德修养</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学生工作部(处)、校团委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5.1.2 加强学风建设，教育引导学生爱国、励志、求真、力行情况</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学生工作部(处)、校团委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5.2学业成绩及综合素质</w:t>
            </w:r>
          </w:p>
        </w:tc>
        <w:tc>
          <w:tcPr>
            <w:tcW w:w="1027" w:type="dxa"/>
            <w:shd w:val="clear" w:color="auto" w:fill="auto"/>
            <w:vAlign w:val="center"/>
          </w:tcPr>
          <w:p>
            <w:pPr>
              <w:widowControl/>
              <w:spacing w:line="300" w:lineRule="exact"/>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B 5.2.1</w:t>
            </w:r>
          </w:p>
        </w:tc>
        <w:tc>
          <w:tcPr>
            <w:tcW w:w="6727" w:type="dxa"/>
            <w:shd w:val="clear" w:color="auto" w:fill="auto"/>
            <w:vAlign w:val="center"/>
          </w:tcPr>
          <w:p>
            <w:pPr>
              <w:spacing w:line="30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B2 学生综合应用知识能力和独立解决生产、管理和服务中实际问题能力</w:t>
            </w:r>
          </w:p>
          <w:p>
            <w:pPr>
              <w:spacing w:line="30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【可选】在学期间获得国家认可的职业资格证书学生数占在校生数的比例</w:t>
            </w:r>
          </w:p>
          <w:p>
            <w:pPr>
              <w:widowControl/>
              <w:spacing w:line="300" w:lineRule="exac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【可选】本科生以第一作者/通讯作者在公开发行期刊发表的论文数和本科生获批国家发明专利数</w:t>
            </w:r>
          </w:p>
        </w:tc>
        <w:tc>
          <w:tcPr>
            <w:tcW w:w="2923" w:type="dxa"/>
            <w:vAlign w:val="center"/>
          </w:tcPr>
          <w:p>
            <w:pPr>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学生工作部（处）、 科学研究发展院、各学院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widowControl/>
              <w:spacing w:line="300" w:lineRule="exact"/>
              <w:jc w:val="left"/>
              <w:rPr>
                <w:rFonts w:ascii="仿宋" w:hAnsi="仿宋" w:eastAsia="仿宋" w:cs="仿宋"/>
                <w:kern w:val="0"/>
                <w:sz w:val="24"/>
                <w:szCs w:val="24"/>
              </w:rPr>
            </w:pPr>
            <w:r>
              <w:rPr>
                <w:rFonts w:hint="eastAsia" w:ascii="仿宋" w:hAnsi="仿宋" w:eastAsia="仿宋" w:cs="仿宋"/>
                <w:kern w:val="0"/>
                <w:sz w:val="24"/>
                <w:szCs w:val="24"/>
              </w:rPr>
              <w:t>5.2.2 开展通识教育、体育、美育、劳动教育的措施与成效</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【必选】体质测试达标率</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教务处、体育学院、美术学院、音乐学院、马克思主义学院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5.2.3 社团活动、校园文化、社会实践、志愿服务等活动开展情况及育人效果</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【可选】省级以上艺术展演、体育竞赛参赛获奖学生人次数占学生总数的比例</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学生工作部（处）、校团委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K 5.3国际</w:t>
            </w:r>
          </w:p>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视野</w:t>
            </w:r>
          </w:p>
        </w:tc>
        <w:tc>
          <w:tcPr>
            <w:tcW w:w="7754" w:type="dxa"/>
            <w:gridSpan w:val="2"/>
            <w:shd w:val="clear" w:color="auto" w:fill="auto"/>
            <w:vAlign w:val="center"/>
          </w:tcPr>
          <w:p>
            <w:pPr>
              <w:spacing w:line="300" w:lineRule="exact"/>
              <w:rPr>
                <w:rFonts w:ascii="仿宋" w:hAnsi="仿宋" w:eastAsia="仿宋" w:cs="仿宋"/>
                <w:kern w:val="0"/>
                <w:sz w:val="24"/>
                <w:szCs w:val="24"/>
              </w:rPr>
            </w:pPr>
            <w:r>
              <w:rPr>
                <w:rFonts w:hint="eastAsia" w:ascii="仿宋" w:hAnsi="仿宋" w:eastAsia="仿宋" w:cs="仿宋"/>
                <w:kern w:val="0"/>
                <w:sz w:val="24"/>
                <w:szCs w:val="24"/>
              </w:rPr>
              <w:t>K 5.3.1 与国（境）外大学合作办学、合作育人以及与本科教育相关的国际交流活动和来华留学生教育开展情况</w:t>
            </w:r>
          </w:p>
        </w:tc>
        <w:tc>
          <w:tcPr>
            <w:tcW w:w="2923" w:type="dxa"/>
            <w:vAlign w:val="center"/>
          </w:tcPr>
          <w:p>
            <w:pPr>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 xml:space="preserve"> 国际交流合作处、国际教育学院、港澳台办公室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spacing w:line="300" w:lineRule="exact"/>
              <w:rPr>
                <w:rFonts w:ascii="仿宋" w:hAnsi="仿宋" w:eastAsia="仿宋" w:cs="仿宋"/>
                <w:kern w:val="0"/>
                <w:sz w:val="24"/>
                <w:szCs w:val="24"/>
              </w:rPr>
            </w:pPr>
            <w:r>
              <w:rPr>
                <w:rFonts w:hint="eastAsia" w:ascii="仿宋" w:hAnsi="仿宋" w:eastAsia="仿宋" w:cs="仿宋"/>
                <w:kern w:val="0"/>
                <w:sz w:val="24"/>
                <w:szCs w:val="24"/>
              </w:rPr>
              <w:t>K 5.3.2 国际先进教育理念、优质教育资源的吸收内化、培育和输出共享情况</w:t>
            </w:r>
            <w:r>
              <w:rPr>
                <w:rFonts w:hint="eastAsia" w:ascii="仿宋" w:hAnsi="仿宋" w:eastAsia="仿宋" w:cs="仿宋"/>
                <w:b/>
                <w:bCs/>
                <w:kern w:val="0"/>
                <w:sz w:val="24"/>
                <w:szCs w:val="24"/>
              </w:rPr>
              <w:t>（*）</w:t>
            </w:r>
          </w:p>
        </w:tc>
        <w:tc>
          <w:tcPr>
            <w:tcW w:w="2923" w:type="dxa"/>
            <w:vAlign w:val="center"/>
          </w:tcPr>
          <w:p>
            <w:pPr>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 xml:space="preserve"> 国际交流合作处、国际教育学院、港澳台办公室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K 5.3.3 学生赴国（境）外交流、访学、实习、竞赛、参加国际会议、合作研究等情况</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【可选】在学期间赴国（境）外交流、访学、实习的学生数占在校生数的比例</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 xml:space="preserve"> 国际交流合作处、国际教育学院、港澳台办公室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5.4支持服务</w:t>
            </w: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5.4.1 领导干部和教师参与学生工作的情况</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 xml:space="preserve"> 教师工作部、人事处、人才工作办公室、学生工作部（处）、各二级学院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5.4.2 学校开展学生指导服务工作（学业、职业生涯规划、就业、家庭经济困难学生资助、心理健康咨询等）情况，学业导师、心理辅导教师、校医等配备及师生交流活动专门场所建设情况</w:t>
            </w:r>
          </w:p>
          <w:p>
            <w:pPr>
              <w:widowControl/>
              <w:spacing w:line="300" w:lineRule="exact"/>
              <w:rPr>
                <w:rFonts w:ascii="仿宋" w:hAnsi="仿宋" w:eastAsia="仿宋" w:cs="仿宋"/>
                <w:sz w:val="24"/>
                <w:szCs w:val="24"/>
              </w:rPr>
            </w:pPr>
            <w:r>
              <w:rPr>
                <w:rFonts w:hint="eastAsia" w:ascii="仿宋" w:hAnsi="仿宋" w:eastAsia="仿宋" w:cs="仿宋"/>
                <w:sz w:val="24"/>
                <w:szCs w:val="24"/>
              </w:rPr>
              <w:t>【必选】专职辅导员岗位与在校生比例≥1:200</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【必选】专职从事心理健康教育教师与在校生比例≥1:4000且至少2名</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【必选】专职就业指导教师和专职就业工作人员与应届毕业生比例≥1:500</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学生工作部（处）、招生就业处、各二级学院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5.4.3 与学分制改革和弹性学习相适应的管理制度、辅修专业制度、双学士学位制度建设情况</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K 5.4.4 探索学生成长增值评价，重视学生学习体验、自我发展能力和职业发展能力的具体措施及实施成效</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招生就业处、学生工作部（处）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984"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6.质量保障</w:t>
            </w:r>
          </w:p>
          <w:p>
            <w:pPr>
              <w:widowControl/>
              <w:spacing w:line="300" w:lineRule="exact"/>
              <w:jc w:val="center"/>
              <w:rPr>
                <w:rFonts w:ascii="仿宋" w:hAnsi="仿宋" w:eastAsia="仿宋" w:cs="仿宋"/>
                <w:kern w:val="0"/>
                <w:sz w:val="24"/>
                <w:szCs w:val="24"/>
              </w:rPr>
            </w:pPr>
            <w:r>
              <w:rPr>
                <w:rFonts w:hint="eastAsia" w:ascii="仿宋" w:hAnsi="仿宋" w:eastAsia="仿宋" w:cs="仿宋"/>
                <w:b/>
                <w:bCs/>
                <w:kern w:val="0"/>
                <w:sz w:val="24"/>
                <w:szCs w:val="24"/>
              </w:rPr>
              <w:t>(牵头单位：教务处)</w:t>
            </w:r>
          </w:p>
        </w:tc>
        <w:tc>
          <w:tcPr>
            <w:tcW w:w="1693" w:type="dxa"/>
            <w:vMerge w:val="restart"/>
            <w:shd w:val="clear" w:color="auto" w:fill="auto"/>
            <w:vAlign w:val="center"/>
          </w:tcPr>
          <w:p>
            <w:pPr>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6.1质量管理</w:t>
            </w: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6.1.1 学校质量标准、质量管理制度、质量保障机构及队伍建设情况</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6.1.2 加强考试管理、严肃考试纪律、完善过程性考核与结果性考核有机结合的学业考评制度、严把考试和毕业出口关的情况</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6.2质量改进</w:t>
            </w:r>
          </w:p>
        </w:tc>
        <w:tc>
          <w:tcPr>
            <w:tcW w:w="7754" w:type="dxa"/>
            <w:gridSpan w:val="2"/>
            <w:shd w:val="clear" w:color="auto" w:fill="auto"/>
            <w:vAlign w:val="center"/>
          </w:tcPr>
          <w:p>
            <w:pPr>
              <w:widowControl/>
              <w:spacing w:line="300" w:lineRule="exact"/>
              <w:rPr>
                <w:rFonts w:ascii="仿宋" w:hAnsi="仿宋" w:eastAsia="仿宋" w:cs="仿宋"/>
                <w:spacing w:val="-2"/>
                <w:kern w:val="0"/>
                <w:sz w:val="24"/>
                <w:szCs w:val="24"/>
              </w:rPr>
            </w:pPr>
            <w:r>
              <w:rPr>
                <w:rFonts w:hint="eastAsia" w:ascii="仿宋" w:hAnsi="仿宋" w:eastAsia="仿宋" w:cs="仿宋"/>
                <w:kern w:val="0"/>
                <w:sz w:val="24"/>
                <w:szCs w:val="24"/>
              </w:rPr>
              <w:t>6.2.1 学校内部质量评估制度的建立及接受外部评估（含院校评估、专业认证等）情况</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6.2.2 质量持续改进机制建设与改进效果</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6.3质量文化</w:t>
            </w: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6.3.1 自觉、自省、自律、自查、自纠的质量文化建设情况</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6.3.2 质量信息公开制度及年度质量报告</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984"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7.教学成效</w:t>
            </w:r>
          </w:p>
          <w:p>
            <w:pPr>
              <w:widowControl/>
              <w:spacing w:line="300" w:lineRule="exact"/>
              <w:jc w:val="center"/>
              <w:rPr>
                <w:rFonts w:ascii="仿宋" w:hAnsi="仿宋" w:eastAsia="仿宋" w:cs="仿宋"/>
                <w:kern w:val="0"/>
                <w:sz w:val="24"/>
                <w:szCs w:val="24"/>
              </w:rPr>
            </w:pPr>
            <w:r>
              <w:rPr>
                <w:rFonts w:hint="eastAsia" w:ascii="仿宋" w:hAnsi="仿宋" w:eastAsia="仿宋" w:cs="仿宋"/>
                <w:b/>
                <w:bCs/>
                <w:kern w:val="0"/>
                <w:sz w:val="24"/>
                <w:szCs w:val="24"/>
              </w:rPr>
              <w:t>(牵头单位：招生就业处)</w:t>
            </w: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7.1达成度</w:t>
            </w: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7.1.1 学校各专业人才培养目标的达成情况</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教务处、招生就业处、各二级学院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7.1.2 毕业生质量持续跟踪评价机制建立情况及跟踪评价结果</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招生就业处、各二级学院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7.2适应度</w:t>
            </w: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7.2.1 学校本科生源状况</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招生就业处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1027" w:type="dxa"/>
            <w:shd w:val="clear" w:color="auto" w:fill="auto"/>
            <w:vAlign w:val="center"/>
          </w:tcPr>
          <w:p>
            <w:pPr>
              <w:widowControl/>
              <w:spacing w:line="300" w:lineRule="exact"/>
              <w:jc w:val="left"/>
              <w:rPr>
                <w:rFonts w:ascii="仿宋" w:hAnsi="仿宋" w:eastAsia="仿宋" w:cs="仿宋"/>
                <w:kern w:val="0"/>
                <w:sz w:val="24"/>
                <w:szCs w:val="24"/>
              </w:rPr>
            </w:pPr>
            <w:r>
              <w:rPr>
                <w:rFonts w:hint="eastAsia" w:ascii="仿宋" w:hAnsi="仿宋" w:eastAsia="仿宋" w:cs="仿宋"/>
                <w:kern w:val="0"/>
                <w:sz w:val="24"/>
                <w:szCs w:val="24"/>
              </w:rPr>
              <w:t>B 7.2.2</w:t>
            </w:r>
          </w:p>
        </w:tc>
        <w:tc>
          <w:tcPr>
            <w:tcW w:w="6727" w:type="dxa"/>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B2毕业生面向学校所服务的区域和行业企业就业情况、就业质量及职业发展情况</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【可选】升学率（含国内与国外）</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【可选】应届本科生初次就业率及结构</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招生就业处、各二级学院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7.3保障度</w:t>
            </w: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7.3.1 教学经费以及教室、实验室、图书馆、体育场馆、艺术场馆等资源条件满足教学需要情况</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【必选】生均本科实验经费（元）</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【必选】生均本科实习经费（元）</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国有资产与实验室管理处（招投标管理中心）、基建管理处、财务处、图书馆、信息化建设与管理工作处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7.3.2 教师的数量、结构、教学水平、产学研用能力、国际视野、教学投入等满足人才培养需要情况</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【必选】生师比</w:t>
            </w:r>
            <w:r>
              <w:rPr>
                <w:rFonts w:hint="eastAsia" w:ascii="仿宋" w:hAnsi="仿宋" w:eastAsia="仿宋" w:cs="仿宋"/>
                <w:sz w:val="24"/>
                <w:szCs w:val="24"/>
              </w:rPr>
              <w:t>（要求见备注8）</w:t>
            </w:r>
          </w:p>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【必选】具有硕士学位、博士学位教师占专任教师比例≥50%</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 xml:space="preserve"> 教师工作部、人事处、人才工作办公室、教务处、 科学研究发展院、 国际交流合作处、国际教育学院、港澳台办公室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7.4有效度</w:t>
            </w: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7.4.1 学校人才培养各环节有序运行情况</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7.4.2 学校人才培养工作持续改进、持续提升情况</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教务处、各二级学院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984" w:type="dxa"/>
            <w:vMerge w:val="continue"/>
            <w:shd w:val="clear" w:color="auto" w:fill="auto"/>
            <w:vAlign w:val="center"/>
          </w:tcPr>
          <w:p>
            <w:pPr>
              <w:spacing w:line="300" w:lineRule="exact"/>
              <w:jc w:val="center"/>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7.4.3 近五年专业领域的优秀毕业生十个典型案例及培养经验</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招生就业处、各二级学院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984" w:type="dxa"/>
            <w:vMerge w:val="continue"/>
            <w:shd w:val="clear" w:color="auto" w:fill="auto"/>
            <w:vAlign w:val="center"/>
          </w:tcPr>
          <w:p>
            <w:pPr>
              <w:widowControl/>
              <w:spacing w:line="300" w:lineRule="exact"/>
              <w:jc w:val="center"/>
              <w:rPr>
                <w:rFonts w:ascii="仿宋" w:hAnsi="仿宋" w:eastAsia="仿宋" w:cs="仿宋"/>
                <w:kern w:val="0"/>
                <w:sz w:val="24"/>
                <w:szCs w:val="24"/>
              </w:rPr>
            </w:pPr>
          </w:p>
        </w:tc>
        <w:tc>
          <w:tcPr>
            <w:tcW w:w="1693" w:type="dxa"/>
            <w:vMerge w:val="restart"/>
            <w:shd w:val="clear" w:color="auto" w:fill="auto"/>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7.5满意度</w:t>
            </w: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7.5.1 学生（毕业生与在校生）对学习与成长的满意度</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招生就业处、学生工作部（处）、各二级学院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1984" w:type="dxa"/>
            <w:vMerge w:val="continue"/>
            <w:shd w:val="clear" w:color="auto" w:fill="auto"/>
            <w:vAlign w:val="center"/>
          </w:tcPr>
          <w:p>
            <w:pPr>
              <w:widowControl/>
              <w:spacing w:line="300" w:lineRule="exact"/>
              <w:jc w:val="left"/>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left"/>
              <w:rPr>
                <w:rFonts w:ascii="仿宋" w:hAnsi="仿宋" w:eastAsia="仿宋" w:cs="仿宋"/>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7.5.2 教师对学校教育教学工作的满意度</w:t>
            </w:r>
            <w:r>
              <w:rPr>
                <w:rFonts w:hint="eastAsia" w:ascii="仿宋" w:hAnsi="仿宋" w:eastAsia="仿宋" w:cs="仿宋"/>
                <w:b/>
                <w:bCs/>
                <w:kern w:val="0"/>
                <w:sz w:val="24"/>
                <w:szCs w:val="24"/>
              </w:rPr>
              <w:t>（*）</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 xml:space="preserve"> 教师工作部、人事处、人才工作办公室、教务处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1984" w:type="dxa"/>
            <w:vMerge w:val="continue"/>
            <w:shd w:val="clear" w:color="auto" w:fill="auto"/>
            <w:vAlign w:val="center"/>
          </w:tcPr>
          <w:p>
            <w:pPr>
              <w:widowControl/>
              <w:spacing w:line="300" w:lineRule="exact"/>
              <w:jc w:val="left"/>
              <w:rPr>
                <w:rFonts w:ascii="仿宋" w:hAnsi="仿宋" w:eastAsia="仿宋" w:cs="仿宋"/>
                <w:kern w:val="0"/>
                <w:sz w:val="24"/>
                <w:szCs w:val="24"/>
              </w:rPr>
            </w:pPr>
          </w:p>
        </w:tc>
        <w:tc>
          <w:tcPr>
            <w:tcW w:w="1693" w:type="dxa"/>
            <w:vMerge w:val="continue"/>
            <w:shd w:val="clear" w:color="auto" w:fill="auto"/>
            <w:vAlign w:val="center"/>
          </w:tcPr>
          <w:p>
            <w:pPr>
              <w:widowControl/>
              <w:spacing w:line="300" w:lineRule="exact"/>
              <w:jc w:val="left"/>
              <w:rPr>
                <w:rFonts w:ascii="仿宋" w:hAnsi="仿宋" w:eastAsia="仿宋" w:cs="仿宋"/>
                <w:kern w:val="0"/>
                <w:sz w:val="24"/>
                <w:szCs w:val="24"/>
              </w:rPr>
            </w:pPr>
          </w:p>
        </w:tc>
        <w:tc>
          <w:tcPr>
            <w:tcW w:w="7754" w:type="dxa"/>
            <w:gridSpan w:val="2"/>
            <w:shd w:val="clear" w:color="auto" w:fill="auto"/>
            <w:vAlign w:val="center"/>
          </w:tcPr>
          <w:p>
            <w:pPr>
              <w:widowControl/>
              <w:spacing w:line="300" w:lineRule="exact"/>
              <w:rPr>
                <w:rFonts w:ascii="仿宋" w:hAnsi="仿宋" w:eastAsia="仿宋" w:cs="仿宋"/>
                <w:kern w:val="0"/>
                <w:sz w:val="24"/>
                <w:szCs w:val="24"/>
              </w:rPr>
            </w:pPr>
            <w:r>
              <w:rPr>
                <w:rFonts w:hint="eastAsia" w:ascii="仿宋" w:hAnsi="仿宋" w:eastAsia="仿宋" w:cs="仿宋"/>
                <w:kern w:val="0"/>
                <w:sz w:val="24"/>
                <w:szCs w:val="24"/>
              </w:rPr>
              <w:t>7.5.3 用人单位的满意度</w:t>
            </w:r>
          </w:p>
        </w:tc>
        <w:tc>
          <w:tcPr>
            <w:tcW w:w="2923" w:type="dxa"/>
            <w:vAlign w:val="center"/>
          </w:tcPr>
          <w:p>
            <w:pPr>
              <w:widowControl/>
              <w:spacing w:line="300" w:lineRule="exact"/>
              <w:jc w:val="center"/>
              <w:rPr>
                <w:rFonts w:ascii="仿宋" w:hAnsi="仿宋" w:eastAsia="仿宋" w:cs="仿宋"/>
                <w:kern w:val="0"/>
                <w:sz w:val="24"/>
                <w:szCs w:val="24"/>
              </w:rPr>
            </w:pPr>
            <w:r>
              <w:rPr>
                <w:rFonts w:hint="eastAsia" w:ascii="仿宋" w:hAnsi="仿宋" w:eastAsia="仿宋" w:cs="仿宋"/>
                <w:kern w:val="0"/>
                <w:sz w:val="24"/>
                <w:szCs w:val="24"/>
              </w:rPr>
              <w:t>招生就业处、各二级学院</w:t>
            </w:r>
          </w:p>
        </w:tc>
      </w:tr>
    </w:tbl>
    <w:p>
      <w:pPr>
        <w:spacing w:line="360" w:lineRule="auto"/>
        <w:rPr>
          <w:rFonts w:ascii="仿宋" w:hAnsi="仿宋" w:eastAsia="仿宋" w:cs="仿宋"/>
          <w:b/>
          <w:kern w:val="0"/>
          <w:sz w:val="24"/>
          <w:szCs w:val="24"/>
        </w:rPr>
      </w:pPr>
      <w:r>
        <w:rPr>
          <w:rFonts w:hint="eastAsia" w:ascii="仿宋" w:hAnsi="仿宋" w:eastAsia="仿宋" w:cs="仿宋"/>
          <w:b/>
          <w:kern w:val="0"/>
          <w:sz w:val="24"/>
          <w:szCs w:val="24"/>
        </w:rPr>
        <w:t>备注：</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1.第二类审核评估分为三种，我校根据自身实际情况，选择第二类中的第二种。</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2.二级指标和审核重点包括统一必选项、类型必选项、特色可选项、首评限选项。</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——“统一必选项”无特殊标识，所有高校必须选择；</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——“类型必选项”标识“B”，选择第二种的高校须统一选择“B2”；</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——“特色可选项”标识“K”，高校可根据办学定位和人才培养目标自主选择，其中：第二种与“K2”选项对应；第三种原则上与“K2”选项对应；</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——“首评限选项”标识“X”（已删除）。</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3.审核重点中定量指标的具体要求可参考国家相关标准。其中，【必选】是指该定量指标学校必须选择；【可选】是指该定量指标学校可根据自身发展需要和实际情况自主选择至少8项。</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4.表中定量指标计算原则上参照《中国教育监测与评价统计指标体系（2020年版）》（教发〔2020〕6号）。</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5.生均年教学日常运行支出=教学日常运行支出/折合在校生数。教学日常运行支出：指学校开展普通本专科教学活动及其辅助活动发生的支出，仅指教学基本支出中的商品和服务支出（302类）（不含教学专项拨款支出），具体包括：教学教辅部门发生的办公费（含考试考务费、手续费等）、印刷费、咨询费、邮电费、交通费、差旅费、出国费、维修（护）费、租赁费、会议费、培训费、专用材料费（含体育维持费等）、劳务费、其他教学商品和服务支出（含学生活动费、教学咨询研究机构会员费、教学改革科研业务费、委托业务费等）。取会计决算数。</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6.年新增教学科研仪器设备所占比例（参照教育部教发〔2004〕2号文件）：年新增教学科研仪器设备所占比例≥10%。凡教学仪器设备总值超过1亿元的高校，当年新增教学仪器设备值超过1000万元，该项指标即为合格。</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7.生均教学科研仪器设备值=普通高校教学与科研仪器设备总资产值/折合在校生数（参照教育部教发〔2004〕2号文件），综合、师范、民族院校，工科、农、林院校和医学院校≥5000元/生。</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8.生师比=折合在校生数/专任教师总数（参照教育部教发〔2004〕2号文件），综合、师范、民族院校，工科、农、林院校和语文、财经、政法院校≤18:1。</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折合在校生数=普通本专科在校生数+硕士研究生在校生数*1.5+博士研究生在校生数*2+普通本专科留学生在校生数+硕士留学生在校生数*1.5+博士留学生在校生数*2+普通预科生注册生数+成人业余本专科在校生数*0.3+成人函授本专科在校生数*0.1+网络本专科在校生*0.1+本校中职在校生数+其他（占用教学资源的学历教育学生数，例如成人脱产本专科在校生数）。</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专任教师总数=本校专任教师数+本学年聘请校外教师数*0.5+临床教师数*0.5；其中：本校专任教师须承担教学任务且人事关系在本校（原则上须连续6个月缴纳人员养老险等社保或人员档案在本校）；校外教师须承担本校教学任务、有聘用合同和劳务费发放记录，聘请校外教师折算数（本学年聘请校外教师数*0.5）不超过专任教师总数的四分之一；临床教师须承担教学任务且人事关系在本校或直属附属医院。</w:t>
      </w:r>
    </w:p>
    <w:sectPr>
      <w:headerReference r:id="rId3" w:type="default"/>
      <w:footerReference r:id="rId4" w:type="default"/>
      <w:pgSz w:w="16838" w:h="11906" w:orient="landscape"/>
      <w:pgMar w:top="1134" w:right="1417" w:bottom="1134"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6AAFA7-56D9-4815-A16F-804AE59780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embedRegular r:id="rId2" w:fontKey="{D8792602-8227-4E02-862F-1321A92C6395}"/>
  </w:font>
  <w:font w:name="仿宋">
    <w:panose1 w:val="02010609060101010101"/>
    <w:charset w:val="86"/>
    <w:family w:val="modern"/>
    <w:pitch w:val="default"/>
    <w:sig w:usb0="800002BF" w:usb1="38CF7CFA" w:usb2="00000016" w:usb3="00000000" w:csb0="00040001" w:csb1="00000000"/>
    <w:embedRegular r:id="rId3" w:fontKey="{4C803A70-01E6-4F11-A126-D21B54205BEB}"/>
  </w:font>
  <w:font w:name="方正小标宋_GBK">
    <w:altName w:val="微软雅黑"/>
    <w:panose1 w:val="00000000000000000000"/>
    <w:charset w:val="86"/>
    <w:family w:val="script"/>
    <w:pitch w:val="default"/>
    <w:sig w:usb0="00000000" w:usb1="00000000" w:usb2="00082016" w:usb3="00000000" w:csb0="00040001" w:csb1="00000000"/>
    <w:embedRegular r:id="rId4" w:fontKey="{4347F7AA-CE28-4160-8919-B669BA10BECE}"/>
  </w:font>
  <w:font w:name="微软雅黑">
    <w:panose1 w:val="020B0503020204020204"/>
    <w:charset w:val="86"/>
    <w:family w:val="swiss"/>
    <w:pitch w:val="default"/>
    <w:sig w:usb0="80000287" w:usb1="2ACF3C50" w:usb2="00000016" w:usb3="00000000" w:csb0="0004001F" w:csb1="00000000"/>
    <w:embedRegular r:id="rId5" w:fontKey="{A7C287ED-045A-47DF-9C5E-DFFA5D9F18C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5852300"/>
    </w:sdtPr>
    <w:sdtEndPr>
      <w:rPr>
        <w:rFonts w:ascii="Times New Roman" w:hAnsi="Times New Roman" w:cs="Times New Roman"/>
        <w:sz w:val="24"/>
        <w:szCs w:val="24"/>
      </w:rPr>
    </w:sdtEndPr>
    <w:sdtContent>
      <w:p>
        <w:pPr>
          <w:pStyle w:val="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2</w:t>
        </w:r>
        <w:r>
          <w:rPr>
            <w:rFonts w:ascii="Times New Roman" w:hAnsi="Times New Roman" w:cs="Times New Roman"/>
            <w:sz w:val="24"/>
            <w:szCs w:val="24"/>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龚波">
    <w15:presenceInfo w15:providerId="WPS Office" w15:userId="3027172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5ZjJhMWUyY2ZiMzg2MGNiMzc5YWQzMTM4NzA4MzQifQ=="/>
  </w:docVars>
  <w:rsids>
    <w:rsidRoot w:val="00F9794E"/>
    <w:rsid w:val="00001559"/>
    <w:rsid w:val="00002826"/>
    <w:rsid w:val="00002878"/>
    <w:rsid w:val="00002A9E"/>
    <w:rsid w:val="000045A7"/>
    <w:rsid w:val="00010A7A"/>
    <w:rsid w:val="0001168E"/>
    <w:rsid w:val="00013DDC"/>
    <w:rsid w:val="00013F00"/>
    <w:rsid w:val="0001418A"/>
    <w:rsid w:val="00017FA4"/>
    <w:rsid w:val="00020252"/>
    <w:rsid w:val="0002037D"/>
    <w:rsid w:val="00020592"/>
    <w:rsid w:val="000207D6"/>
    <w:rsid w:val="00023095"/>
    <w:rsid w:val="00024A3F"/>
    <w:rsid w:val="00025187"/>
    <w:rsid w:val="000251FA"/>
    <w:rsid w:val="00025803"/>
    <w:rsid w:val="00025F6B"/>
    <w:rsid w:val="00035250"/>
    <w:rsid w:val="0003593B"/>
    <w:rsid w:val="00035E66"/>
    <w:rsid w:val="00036784"/>
    <w:rsid w:val="00041CA3"/>
    <w:rsid w:val="00043908"/>
    <w:rsid w:val="00047A3F"/>
    <w:rsid w:val="00053578"/>
    <w:rsid w:val="000549FE"/>
    <w:rsid w:val="00057A99"/>
    <w:rsid w:val="00060BD5"/>
    <w:rsid w:val="0006644F"/>
    <w:rsid w:val="00066601"/>
    <w:rsid w:val="00071586"/>
    <w:rsid w:val="00071673"/>
    <w:rsid w:val="00072092"/>
    <w:rsid w:val="00073643"/>
    <w:rsid w:val="00076C08"/>
    <w:rsid w:val="0008021A"/>
    <w:rsid w:val="000811FA"/>
    <w:rsid w:val="00081423"/>
    <w:rsid w:val="00082955"/>
    <w:rsid w:val="00083115"/>
    <w:rsid w:val="000845C9"/>
    <w:rsid w:val="00085CFD"/>
    <w:rsid w:val="00090F30"/>
    <w:rsid w:val="0009114C"/>
    <w:rsid w:val="0009116E"/>
    <w:rsid w:val="000930F0"/>
    <w:rsid w:val="000934DC"/>
    <w:rsid w:val="0009376E"/>
    <w:rsid w:val="00094C7A"/>
    <w:rsid w:val="000A1D48"/>
    <w:rsid w:val="000A1E4D"/>
    <w:rsid w:val="000A3E16"/>
    <w:rsid w:val="000A6382"/>
    <w:rsid w:val="000B0BC7"/>
    <w:rsid w:val="000B2E52"/>
    <w:rsid w:val="000B4BAC"/>
    <w:rsid w:val="000B6B49"/>
    <w:rsid w:val="000C08C9"/>
    <w:rsid w:val="000C0BE7"/>
    <w:rsid w:val="000C1CB9"/>
    <w:rsid w:val="000C23C5"/>
    <w:rsid w:val="000D374F"/>
    <w:rsid w:val="000D3F5C"/>
    <w:rsid w:val="000D3FDC"/>
    <w:rsid w:val="000D5FF4"/>
    <w:rsid w:val="000E2087"/>
    <w:rsid w:val="000E20DB"/>
    <w:rsid w:val="000E34F8"/>
    <w:rsid w:val="000E378C"/>
    <w:rsid w:val="000E6882"/>
    <w:rsid w:val="000F2D08"/>
    <w:rsid w:val="000F5A2A"/>
    <w:rsid w:val="00106F3C"/>
    <w:rsid w:val="0011175A"/>
    <w:rsid w:val="00116B45"/>
    <w:rsid w:val="00122678"/>
    <w:rsid w:val="001230F0"/>
    <w:rsid w:val="00123230"/>
    <w:rsid w:val="00124FB2"/>
    <w:rsid w:val="0012728C"/>
    <w:rsid w:val="00131EBC"/>
    <w:rsid w:val="00132EF0"/>
    <w:rsid w:val="001355E0"/>
    <w:rsid w:val="0014071E"/>
    <w:rsid w:val="00141551"/>
    <w:rsid w:val="0014255F"/>
    <w:rsid w:val="00142FBE"/>
    <w:rsid w:val="0014352C"/>
    <w:rsid w:val="00143809"/>
    <w:rsid w:val="00145BF7"/>
    <w:rsid w:val="00147581"/>
    <w:rsid w:val="0015037D"/>
    <w:rsid w:val="00152742"/>
    <w:rsid w:val="00154146"/>
    <w:rsid w:val="00154DBC"/>
    <w:rsid w:val="001568F5"/>
    <w:rsid w:val="0016145A"/>
    <w:rsid w:val="00165F16"/>
    <w:rsid w:val="00167C3B"/>
    <w:rsid w:val="00171BB5"/>
    <w:rsid w:val="00172DEF"/>
    <w:rsid w:val="0017583F"/>
    <w:rsid w:val="001770DA"/>
    <w:rsid w:val="00185A4A"/>
    <w:rsid w:val="00190101"/>
    <w:rsid w:val="00193369"/>
    <w:rsid w:val="0019351E"/>
    <w:rsid w:val="00195B4A"/>
    <w:rsid w:val="001967F7"/>
    <w:rsid w:val="00196A4F"/>
    <w:rsid w:val="00197036"/>
    <w:rsid w:val="001A018E"/>
    <w:rsid w:val="001A07E9"/>
    <w:rsid w:val="001A127F"/>
    <w:rsid w:val="001A38B1"/>
    <w:rsid w:val="001A3BF0"/>
    <w:rsid w:val="001A45AF"/>
    <w:rsid w:val="001A50A2"/>
    <w:rsid w:val="001A742B"/>
    <w:rsid w:val="001B23DA"/>
    <w:rsid w:val="001B5D9B"/>
    <w:rsid w:val="001B74A9"/>
    <w:rsid w:val="001C2193"/>
    <w:rsid w:val="001C63E9"/>
    <w:rsid w:val="001D3E8E"/>
    <w:rsid w:val="001D7291"/>
    <w:rsid w:val="001D7D26"/>
    <w:rsid w:val="001E2D70"/>
    <w:rsid w:val="001E6473"/>
    <w:rsid w:val="001F4145"/>
    <w:rsid w:val="00203005"/>
    <w:rsid w:val="002033CF"/>
    <w:rsid w:val="00203576"/>
    <w:rsid w:val="00205EA3"/>
    <w:rsid w:val="00206867"/>
    <w:rsid w:val="0020717C"/>
    <w:rsid w:val="00210EC7"/>
    <w:rsid w:val="002117A5"/>
    <w:rsid w:val="00211E29"/>
    <w:rsid w:val="00215489"/>
    <w:rsid w:val="002154B7"/>
    <w:rsid w:val="00215655"/>
    <w:rsid w:val="00216259"/>
    <w:rsid w:val="0021725A"/>
    <w:rsid w:val="002209F0"/>
    <w:rsid w:val="002236BB"/>
    <w:rsid w:val="00224277"/>
    <w:rsid w:val="00225CA5"/>
    <w:rsid w:val="00236D0B"/>
    <w:rsid w:val="002426FC"/>
    <w:rsid w:val="00243E28"/>
    <w:rsid w:val="002527EE"/>
    <w:rsid w:val="00253BB7"/>
    <w:rsid w:val="00255198"/>
    <w:rsid w:val="00256A7B"/>
    <w:rsid w:val="0026195A"/>
    <w:rsid w:val="00261F32"/>
    <w:rsid w:val="0026631E"/>
    <w:rsid w:val="002664FA"/>
    <w:rsid w:val="002667EA"/>
    <w:rsid w:val="002721EE"/>
    <w:rsid w:val="00272AD8"/>
    <w:rsid w:val="002750C3"/>
    <w:rsid w:val="00276841"/>
    <w:rsid w:val="00280293"/>
    <w:rsid w:val="00280BC0"/>
    <w:rsid w:val="002810CE"/>
    <w:rsid w:val="0028142F"/>
    <w:rsid w:val="002835AE"/>
    <w:rsid w:val="002843F6"/>
    <w:rsid w:val="0028521B"/>
    <w:rsid w:val="00285FC0"/>
    <w:rsid w:val="0028666D"/>
    <w:rsid w:val="00286B83"/>
    <w:rsid w:val="00287A51"/>
    <w:rsid w:val="002925B5"/>
    <w:rsid w:val="002942C7"/>
    <w:rsid w:val="0029488F"/>
    <w:rsid w:val="00294EC5"/>
    <w:rsid w:val="002A062E"/>
    <w:rsid w:val="002A3A9C"/>
    <w:rsid w:val="002B24A7"/>
    <w:rsid w:val="002B3823"/>
    <w:rsid w:val="002B3BBB"/>
    <w:rsid w:val="002B4DDE"/>
    <w:rsid w:val="002B5C7E"/>
    <w:rsid w:val="002B7DE3"/>
    <w:rsid w:val="002C0663"/>
    <w:rsid w:val="002C39DD"/>
    <w:rsid w:val="002C5301"/>
    <w:rsid w:val="002D1AD9"/>
    <w:rsid w:val="002D212D"/>
    <w:rsid w:val="002D2CB8"/>
    <w:rsid w:val="002D5CB0"/>
    <w:rsid w:val="002E0027"/>
    <w:rsid w:val="002E0C46"/>
    <w:rsid w:val="002E38F6"/>
    <w:rsid w:val="002E5157"/>
    <w:rsid w:val="002E7447"/>
    <w:rsid w:val="002F03F7"/>
    <w:rsid w:val="002F6BAF"/>
    <w:rsid w:val="002F7E6C"/>
    <w:rsid w:val="0030057B"/>
    <w:rsid w:val="00300B5B"/>
    <w:rsid w:val="00301185"/>
    <w:rsid w:val="003013D9"/>
    <w:rsid w:val="003072D2"/>
    <w:rsid w:val="0030732C"/>
    <w:rsid w:val="00311273"/>
    <w:rsid w:val="0031256F"/>
    <w:rsid w:val="00313084"/>
    <w:rsid w:val="003149F6"/>
    <w:rsid w:val="00314B22"/>
    <w:rsid w:val="00314CEA"/>
    <w:rsid w:val="00322C42"/>
    <w:rsid w:val="00322D0F"/>
    <w:rsid w:val="003242BC"/>
    <w:rsid w:val="00324E21"/>
    <w:rsid w:val="0032600B"/>
    <w:rsid w:val="00333D13"/>
    <w:rsid w:val="0033415E"/>
    <w:rsid w:val="00336371"/>
    <w:rsid w:val="0034114F"/>
    <w:rsid w:val="00345E00"/>
    <w:rsid w:val="00346329"/>
    <w:rsid w:val="0035059A"/>
    <w:rsid w:val="00350669"/>
    <w:rsid w:val="00353339"/>
    <w:rsid w:val="003535DF"/>
    <w:rsid w:val="00356E32"/>
    <w:rsid w:val="0036060A"/>
    <w:rsid w:val="00362563"/>
    <w:rsid w:val="00371769"/>
    <w:rsid w:val="00374810"/>
    <w:rsid w:val="00375067"/>
    <w:rsid w:val="003750A0"/>
    <w:rsid w:val="00375C78"/>
    <w:rsid w:val="00375CE5"/>
    <w:rsid w:val="0038345B"/>
    <w:rsid w:val="00385B79"/>
    <w:rsid w:val="00391AC0"/>
    <w:rsid w:val="00392548"/>
    <w:rsid w:val="00394E61"/>
    <w:rsid w:val="00396488"/>
    <w:rsid w:val="00397B31"/>
    <w:rsid w:val="003A3E7C"/>
    <w:rsid w:val="003A4C6C"/>
    <w:rsid w:val="003A520D"/>
    <w:rsid w:val="003A59AE"/>
    <w:rsid w:val="003C14DF"/>
    <w:rsid w:val="003C3AE2"/>
    <w:rsid w:val="003C6915"/>
    <w:rsid w:val="003C72A2"/>
    <w:rsid w:val="003D0FB9"/>
    <w:rsid w:val="003D184B"/>
    <w:rsid w:val="003D1B32"/>
    <w:rsid w:val="003D3995"/>
    <w:rsid w:val="003D4DA1"/>
    <w:rsid w:val="003D6698"/>
    <w:rsid w:val="003E59AB"/>
    <w:rsid w:val="003F0054"/>
    <w:rsid w:val="003F43E8"/>
    <w:rsid w:val="003F46DC"/>
    <w:rsid w:val="003F6BAD"/>
    <w:rsid w:val="004017F2"/>
    <w:rsid w:val="004020FA"/>
    <w:rsid w:val="00402326"/>
    <w:rsid w:val="00402EA1"/>
    <w:rsid w:val="00404E92"/>
    <w:rsid w:val="00406EFD"/>
    <w:rsid w:val="00407F52"/>
    <w:rsid w:val="00412D8A"/>
    <w:rsid w:val="00417257"/>
    <w:rsid w:val="004176B4"/>
    <w:rsid w:val="004203BD"/>
    <w:rsid w:val="00420BFF"/>
    <w:rsid w:val="00421696"/>
    <w:rsid w:val="00422A34"/>
    <w:rsid w:val="00425057"/>
    <w:rsid w:val="00426D0F"/>
    <w:rsid w:val="004306A5"/>
    <w:rsid w:val="00430C76"/>
    <w:rsid w:val="00430F70"/>
    <w:rsid w:val="004318E5"/>
    <w:rsid w:val="004324F6"/>
    <w:rsid w:val="00435DB9"/>
    <w:rsid w:val="004443E5"/>
    <w:rsid w:val="00445000"/>
    <w:rsid w:val="004469D4"/>
    <w:rsid w:val="00464DE7"/>
    <w:rsid w:val="00465A40"/>
    <w:rsid w:val="00465FA6"/>
    <w:rsid w:val="004673C1"/>
    <w:rsid w:val="00471CBB"/>
    <w:rsid w:val="00472BF3"/>
    <w:rsid w:val="004746BC"/>
    <w:rsid w:val="00475C8C"/>
    <w:rsid w:val="00476708"/>
    <w:rsid w:val="0048359A"/>
    <w:rsid w:val="004846CE"/>
    <w:rsid w:val="00487A17"/>
    <w:rsid w:val="00487BBF"/>
    <w:rsid w:val="00490049"/>
    <w:rsid w:val="004928F9"/>
    <w:rsid w:val="004936FF"/>
    <w:rsid w:val="004942DC"/>
    <w:rsid w:val="0049657C"/>
    <w:rsid w:val="004967E1"/>
    <w:rsid w:val="004A0491"/>
    <w:rsid w:val="004A1F3E"/>
    <w:rsid w:val="004A21DE"/>
    <w:rsid w:val="004A54E5"/>
    <w:rsid w:val="004B097F"/>
    <w:rsid w:val="004B0B11"/>
    <w:rsid w:val="004B1AD0"/>
    <w:rsid w:val="004B4645"/>
    <w:rsid w:val="004B509A"/>
    <w:rsid w:val="004B681C"/>
    <w:rsid w:val="004C054B"/>
    <w:rsid w:val="004C12CC"/>
    <w:rsid w:val="004C161E"/>
    <w:rsid w:val="004C3480"/>
    <w:rsid w:val="004C4871"/>
    <w:rsid w:val="004C657B"/>
    <w:rsid w:val="004D334A"/>
    <w:rsid w:val="004D732A"/>
    <w:rsid w:val="004E123E"/>
    <w:rsid w:val="004E4608"/>
    <w:rsid w:val="004E5668"/>
    <w:rsid w:val="004F190C"/>
    <w:rsid w:val="004F6D17"/>
    <w:rsid w:val="004F7956"/>
    <w:rsid w:val="00500807"/>
    <w:rsid w:val="005029D2"/>
    <w:rsid w:val="005041A5"/>
    <w:rsid w:val="00505F5D"/>
    <w:rsid w:val="00506A57"/>
    <w:rsid w:val="00506B9B"/>
    <w:rsid w:val="00506F12"/>
    <w:rsid w:val="005118FE"/>
    <w:rsid w:val="00512DDB"/>
    <w:rsid w:val="00513AF4"/>
    <w:rsid w:val="00516149"/>
    <w:rsid w:val="005200BE"/>
    <w:rsid w:val="00520ACA"/>
    <w:rsid w:val="00521598"/>
    <w:rsid w:val="00521AFF"/>
    <w:rsid w:val="005220B8"/>
    <w:rsid w:val="005270B7"/>
    <w:rsid w:val="005274E6"/>
    <w:rsid w:val="00532F96"/>
    <w:rsid w:val="005354F3"/>
    <w:rsid w:val="00536E7F"/>
    <w:rsid w:val="00544375"/>
    <w:rsid w:val="00545242"/>
    <w:rsid w:val="005468C8"/>
    <w:rsid w:val="00546C5B"/>
    <w:rsid w:val="005477A5"/>
    <w:rsid w:val="00547972"/>
    <w:rsid w:val="00551460"/>
    <w:rsid w:val="00556E77"/>
    <w:rsid w:val="00557F0A"/>
    <w:rsid w:val="0056065B"/>
    <w:rsid w:val="00561102"/>
    <w:rsid w:val="00562995"/>
    <w:rsid w:val="005631AC"/>
    <w:rsid w:val="005638D9"/>
    <w:rsid w:val="00564511"/>
    <w:rsid w:val="00564D68"/>
    <w:rsid w:val="00565892"/>
    <w:rsid w:val="00575584"/>
    <w:rsid w:val="005761E5"/>
    <w:rsid w:val="005764D7"/>
    <w:rsid w:val="00580726"/>
    <w:rsid w:val="00582456"/>
    <w:rsid w:val="00582D4E"/>
    <w:rsid w:val="005852CF"/>
    <w:rsid w:val="00592228"/>
    <w:rsid w:val="00592836"/>
    <w:rsid w:val="00593EB9"/>
    <w:rsid w:val="00593F22"/>
    <w:rsid w:val="005A2EA1"/>
    <w:rsid w:val="005A38A9"/>
    <w:rsid w:val="005B0223"/>
    <w:rsid w:val="005B3AAF"/>
    <w:rsid w:val="005B7BC4"/>
    <w:rsid w:val="005C09E6"/>
    <w:rsid w:val="005C38E3"/>
    <w:rsid w:val="005C4457"/>
    <w:rsid w:val="005C608E"/>
    <w:rsid w:val="005D15D7"/>
    <w:rsid w:val="005D4080"/>
    <w:rsid w:val="005D436A"/>
    <w:rsid w:val="005D573C"/>
    <w:rsid w:val="005E0F8B"/>
    <w:rsid w:val="005E4021"/>
    <w:rsid w:val="005E4F9D"/>
    <w:rsid w:val="005F0B9E"/>
    <w:rsid w:val="005F0E6E"/>
    <w:rsid w:val="005F128B"/>
    <w:rsid w:val="005F318D"/>
    <w:rsid w:val="005F3C8C"/>
    <w:rsid w:val="005F3E1D"/>
    <w:rsid w:val="005F6073"/>
    <w:rsid w:val="005F691A"/>
    <w:rsid w:val="005F7AB3"/>
    <w:rsid w:val="00601E77"/>
    <w:rsid w:val="00605888"/>
    <w:rsid w:val="006079F3"/>
    <w:rsid w:val="006114B7"/>
    <w:rsid w:val="006115E4"/>
    <w:rsid w:val="00613E8A"/>
    <w:rsid w:val="00613ED5"/>
    <w:rsid w:val="00614C54"/>
    <w:rsid w:val="00623057"/>
    <w:rsid w:val="00624E4A"/>
    <w:rsid w:val="00626444"/>
    <w:rsid w:val="006264E6"/>
    <w:rsid w:val="00627047"/>
    <w:rsid w:val="006272BA"/>
    <w:rsid w:val="00630CFE"/>
    <w:rsid w:val="00633304"/>
    <w:rsid w:val="0063462C"/>
    <w:rsid w:val="00634E59"/>
    <w:rsid w:val="006424DE"/>
    <w:rsid w:val="00643A36"/>
    <w:rsid w:val="006448EB"/>
    <w:rsid w:val="00645A70"/>
    <w:rsid w:val="00646FFA"/>
    <w:rsid w:val="00650E90"/>
    <w:rsid w:val="006514CD"/>
    <w:rsid w:val="006517D7"/>
    <w:rsid w:val="006547F0"/>
    <w:rsid w:val="00657720"/>
    <w:rsid w:val="00661107"/>
    <w:rsid w:val="00664164"/>
    <w:rsid w:val="00671EE2"/>
    <w:rsid w:val="00677BE2"/>
    <w:rsid w:val="006808FF"/>
    <w:rsid w:val="00683640"/>
    <w:rsid w:val="0069158D"/>
    <w:rsid w:val="00692507"/>
    <w:rsid w:val="00692AF6"/>
    <w:rsid w:val="00694319"/>
    <w:rsid w:val="006964D5"/>
    <w:rsid w:val="00696BA0"/>
    <w:rsid w:val="0069755A"/>
    <w:rsid w:val="006A2317"/>
    <w:rsid w:val="006A39B3"/>
    <w:rsid w:val="006B1085"/>
    <w:rsid w:val="006B4537"/>
    <w:rsid w:val="006B4558"/>
    <w:rsid w:val="006B4B0E"/>
    <w:rsid w:val="006B4F93"/>
    <w:rsid w:val="006B5CDE"/>
    <w:rsid w:val="006B5D33"/>
    <w:rsid w:val="006B6835"/>
    <w:rsid w:val="006C1CEE"/>
    <w:rsid w:val="006C571D"/>
    <w:rsid w:val="006C61BC"/>
    <w:rsid w:val="006C6C41"/>
    <w:rsid w:val="006C73D3"/>
    <w:rsid w:val="006D18F4"/>
    <w:rsid w:val="006D1D40"/>
    <w:rsid w:val="006D4629"/>
    <w:rsid w:val="006E4A53"/>
    <w:rsid w:val="006E7974"/>
    <w:rsid w:val="006F270B"/>
    <w:rsid w:val="006F6EFA"/>
    <w:rsid w:val="00700753"/>
    <w:rsid w:val="00700F70"/>
    <w:rsid w:val="0070225C"/>
    <w:rsid w:val="00706095"/>
    <w:rsid w:val="00707579"/>
    <w:rsid w:val="007124F4"/>
    <w:rsid w:val="00713954"/>
    <w:rsid w:val="00713CF1"/>
    <w:rsid w:val="00714A01"/>
    <w:rsid w:val="00715279"/>
    <w:rsid w:val="007211BD"/>
    <w:rsid w:val="007238A9"/>
    <w:rsid w:val="007261F0"/>
    <w:rsid w:val="007317D1"/>
    <w:rsid w:val="00732243"/>
    <w:rsid w:val="007328CB"/>
    <w:rsid w:val="00732BCF"/>
    <w:rsid w:val="007330A1"/>
    <w:rsid w:val="007332F0"/>
    <w:rsid w:val="0073352B"/>
    <w:rsid w:val="00733830"/>
    <w:rsid w:val="00733DCA"/>
    <w:rsid w:val="007400DA"/>
    <w:rsid w:val="00744D49"/>
    <w:rsid w:val="00744F38"/>
    <w:rsid w:val="00746FF2"/>
    <w:rsid w:val="00747743"/>
    <w:rsid w:val="007529F7"/>
    <w:rsid w:val="007553AC"/>
    <w:rsid w:val="0075679E"/>
    <w:rsid w:val="00761DD6"/>
    <w:rsid w:val="00765A85"/>
    <w:rsid w:val="00766527"/>
    <w:rsid w:val="00766DF6"/>
    <w:rsid w:val="00767FDE"/>
    <w:rsid w:val="00770C8A"/>
    <w:rsid w:val="0077179C"/>
    <w:rsid w:val="007867D4"/>
    <w:rsid w:val="00786E47"/>
    <w:rsid w:val="00787499"/>
    <w:rsid w:val="007879F2"/>
    <w:rsid w:val="00787ADD"/>
    <w:rsid w:val="00787EBA"/>
    <w:rsid w:val="00793C1F"/>
    <w:rsid w:val="00794803"/>
    <w:rsid w:val="0079595F"/>
    <w:rsid w:val="00796E73"/>
    <w:rsid w:val="007976A4"/>
    <w:rsid w:val="007A535D"/>
    <w:rsid w:val="007A5B1A"/>
    <w:rsid w:val="007A74E5"/>
    <w:rsid w:val="007B0432"/>
    <w:rsid w:val="007B0C67"/>
    <w:rsid w:val="007B149B"/>
    <w:rsid w:val="007B14E7"/>
    <w:rsid w:val="007B330B"/>
    <w:rsid w:val="007B39DD"/>
    <w:rsid w:val="007C05C3"/>
    <w:rsid w:val="007C1ADA"/>
    <w:rsid w:val="007C20F1"/>
    <w:rsid w:val="007C4B7A"/>
    <w:rsid w:val="007D0B1D"/>
    <w:rsid w:val="007D1226"/>
    <w:rsid w:val="007D4B90"/>
    <w:rsid w:val="007E2BA7"/>
    <w:rsid w:val="007E4434"/>
    <w:rsid w:val="007E54CB"/>
    <w:rsid w:val="007E57AE"/>
    <w:rsid w:val="007F005E"/>
    <w:rsid w:val="007F1387"/>
    <w:rsid w:val="007F36AD"/>
    <w:rsid w:val="007F606D"/>
    <w:rsid w:val="00802E7A"/>
    <w:rsid w:val="00806DC9"/>
    <w:rsid w:val="0081218E"/>
    <w:rsid w:val="00812D32"/>
    <w:rsid w:val="0081388E"/>
    <w:rsid w:val="00814B07"/>
    <w:rsid w:val="00822B0C"/>
    <w:rsid w:val="008245C1"/>
    <w:rsid w:val="00824806"/>
    <w:rsid w:val="008275B0"/>
    <w:rsid w:val="00832B16"/>
    <w:rsid w:val="00832FC5"/>
    <w:rsid w:val="0083365C"/>
    <w:rsid w:val="00841689"/>
    <w:rsid w:val="00842A0F"/>
    <w:rsid w:val="00845451"/>
    <w:rsid w:val="00847C28"/>
    <w:rsid w:val="008501B5"/>
    <w:rsid w:val="008507CC"/>
    <w:rsid w:val="00851739"/>
    <w:rsid w:val="00853318"/>
    <w:rsid w:val="00855231"/>
    <w:rsid w:val="008630A1"/>
    <w:rsid w:val="0086550F"/>
    <w:rsid w:val="00872E17"/>
    <w:rsid w:val="00873BD5"/>
    <w:rsid w:val="00874417"/>
    <w:rsid w:val="00877F1C"/>
    <w:rsid w:val="00880874"/>
    <w:rsid w:val="00881197"/>
    <w:rsid w:val="00881695"/>
    <w:rsid w:val="00883F9A"/>
    <w:rsid w:val="008852D9"/>
    <w:rsid w:val="00885467"/>
    <w:rsid w:val="00886AB6"/>
    <w:rsid w:val="0089155F"/>
    <w:rsid w:val="00894018"/>
    <w:rsid w:val="00897974"/>
    <w:rsid w:val="008A23BA"/>
    <w:rsid w:val="008A3DC1"/>
    <w:rsid w:val="008A4CB0"/>
    <w:rsid w:val="008B206B"/>
    <w:rsid w:val="008B3868"/>
    <w:rsid w:val="008B40D3"/>
    <w:rsid w:val="008B4450"/>
    <w:rsid w:val="008B4ACF"/>
    <w:rsid w:val="008C1BBE"/>
    <w:rsid w:val="008C2140"/>
    <w:rsid w:val="008C27CC"/>
    <w:rsid w:val="008C6303"/>
    <w:rsid w:val="008D009B"/>
    <w:rsid w:val="008D219F"/>
    <w:rsid w:val="008D5D0E"/>
    <w:rsid w:val="008D7BCD"/>
    <w:rsid w:val="008E0CF4"/>
    <w:rsid w:val="008E3E96"/>
    <w:rsid w:val="008E3F26"/>
    <w:rsid w:val="008E448B"/>
    <w:rsid w:val="008E7530"/>
    <w:rsid w:val="008E7B9E"/>
    <w:rsid w:val="008F058C"/>
    <w:rsid w:val="008F155B"/>
    <w:rsid w:val="008F40E8"/>
    <w:rsid w:val="008F578B"/>
    <w:rsid w:val="008F59F6"/>
    <w:rsid w:val="008F7670"/>
    <w:rsid w:val="00901929"/>
    <w:rsid w:val="00905E69"/>
    <w:rsid w:val="00913FF2"/>
    <w:rsid w:val="00914D01"/>
    <w:rsid w:val="00915D11"/>
    <w:rsid w:val="00916388"/>
    <w:rsid w:val="00917AB3"/>
    <w:rsid w:val="00921423"/>
    <w:rsid w:val="00921D64"/>
    <w:rsid w:val="00921F0F"/>
    <w:rsid w:val="0092519C"/>
    <w:rsid w:val="0092675F"/>
    <w:rsid w:val="00930007"/>
    <w:rsid w:val="0093007B"/>
    <w:rsid w:val="0093314C"/>
    <w:rsid w:val="0093609E"/>
    <w:rsid w:val="0093668E"/>
    <w:rsid w:val="00941365"/>
    <w:rsid w:val="00944C04"/>
    <w:rsid w:val="00946E05"/>
    <w:rsid w:val="009471C1"/>
    <w:rsid w:val="00947779"/>
    <w:rsid w:val="00951B52"/>
    <w:rsid w:val="00951C87"/>
    <w:rsid w:val="00955706"/>
    <w:rsid w:val="00956B8E"/>
    <w:rsid w:val="0095734F"/>
    <w:rsid w:val="00957806"/>
    <w:rsid w:val="009600C8"/>
    <w:rsid w:val="00961A7C"/>
    <w:rsid w:val="00966796"/>
    <w:rsid w:val="00971E14"/>
    <w:rsid w:val="00972919"/>
    <w:rsid w:val="00973F59"/>
    <w:rsid w:val="009779AB"/>
    <w:rsid w:val="009805FB"/>
    <w:rsid w:val="0098171D"/>
    <w:rsid w:val="00981FC0"/>
    <w:rsid w:val="0098284B"/>
    <w:rsid w:val="00985648"/>
    <w:rsid w:val="009946E3"/>
    <w:rsid w:val="00995948"/>
    <w:rsid w:val="009973FE"/>
    <w:rsid w:val="009A2C2A"/>
    <w:rsid w:val="009A421E"/>
    <w:rsid w:val="009B227C"/>
    <w:rsid w:val="009B3749"/>
    <w:rsid w:val="009B4DD2"/>
    <w:rsid w:val="009B6122"/>
    <w:rsid w:val="009C14B1"/>
    <w:rsid w:val="009C406E"/>
    <w:rsid w:val="009C4732"/>
    <w:rsid w:val="009C79E3"/>
    <w:rsid w:val="009D545F"/>
    <w:rsid w:val="009D7E4D"/>
    <w:rsid w:val="009E759E"/>
    <w:rsid w:val="009F23DC"/>
    <w:rsid w:val="009F3582"/>
    <w:rsid w:val="009F462D"/>
    <w:rsid w:val="009F5107"/>
    <w:rsid w:val="009F6267"/>
    <w:rsid w:val="00A00E2C"/>
    <w:rsid w:val="00A00EB1"/>
    <w:rsid w:val="00A02477"/>
    <w:rsid w:val="00A0291D"/>
    <w:rsid w:val="00A0535A"/>
    <w:rsid w:val="00A05B71"/>
    <w:rsid w:val="00A06767"/>
    <w:rsid w:val="00A068FD"/>
    <w:rsid w:val="00A102B4"/>
    <w:rsid w:val="00A105E4"/>
    <w:rsid w:val="00A10B4A"/>
    <w:rsid w:val="00A13259"/>
    <w:rsid w:val="00A133C8"/>
    <w:rsid w:val="00A26CC4"/>
    <w:rsid w:val="00A2780A"/>
    <w:rsid w:val="00A2793E"/>
    <w:rsid w:val="00A32B9D"/>
    <w:rsid w:val="00A34D15"/>
    <w:rsid w:val="00A36D63"/>
    <w:rsid w:val="00A433F1"/>
    <w:rsid w:val="00A44274"/>
    <w:rsid w:val="00A52BF6"/>
    <w:rsid w:val="00A539F1"/>
    <w:rsid w:val="00A600DC"/>
    <w:rsid w:val="00A62E6E"/>
    <w:rsid w:val="00A650F4"/>
    <w:rsid w:val="00A67150"/>
    <w:rsid w:val="00A73261"/>
    <w:rsid w:val="00A80970"/>
    <w:rsid w:val="00A81AF3"/>
    <w:rsid w:val="00A825BC"/>
    <w:rsid w:val="00A8303A"/>
    <w:rsid w:val="00A8550F"/>
    <w:rsid w:val="00A876CD"/>
    <w:rsid w:val="00A93EE0"/>
    <w:rsid w:val="00A972F4"/>
    <w:rsid w:val="00AA39E9"/>
    <w:rsid w:val="00AA3C44"/>
    <w:rsid w:val="00AA57D1"/>
    <w:rsid w:val="00AA608B"/>
    <w:rsid w:val="00AA6A33"/>
    <w:rsid w:val="00AB177A"/>
    <w:rsid w:val="00AB2181"/>
    <w:rsid w:val="00AB4561"/>
    <w:rsid w:val="00AB4CB4"/>
    <w:rsid w:val="00AC071E"/>
    <w:rsid w:val="00AD0C79"/>
    <w:rsid w:val="00AD2224"/>
    <w:rsid w:val="00AD3AC7"/>
    <w:rsid w:val="00AD454C"/>
    <w:rsid w:val="00AD6D01"/>
    <w:rsid w:val="00AE223D"/>
    <w:rsid w:val="00AF0EEF"/>
    <w:rsid w:val="00AF1A5E"/>
    <w:rsid w:val="00AF59CE"/>
    <w:rsid w:val="00B03754"/>
    <w:rsid w:val="00B03B2E"/>
    <w:rsid w:val="00B135AB"/>
    <w:rsid w:val="00B20679"/>
    <w:rsid w:val="00B2090D"/>
    <w:rsid w:val="00B2178D"/>
    <w:rsid w:val="00B22EA3"/>
    <w:rsid w:val="00B2412F"/>
    <w:rsid w:val="00B2608D"/>
    <w:rsid w:val="00B30BEB"/>
    <w:rsid w:val="00B33F07"/>
    <w:rsid w:val="00B4032D"/>
    <w:rsid w:val="00B40596"/>
    <w:rsid w:val="00B51345"/>
    <w:rsid w:val="00B565B5"/>
    <w:rsid w:val="00B56C5F"/>
    <w:rsid w:val="00B61770"/>
    <w:rsid w:val="00B61959"/>
    <w:rsid w:val="00B62804"/>
    <w:rsid w:val="00B635FF"/>
    <w:rsid w:val="00B64933"/>
    <w:rsid w:val="00B66DC9"/>
    <w:rsid w:val="00B67496"/>
    <w:rsid w:val="00B75D61"/>
    <w:rsid w:val="00B8012F"/>
    <w:rsid w:val="00B802B2"/>
    <w:rsid w:val="00B81C30"/>
    <w:rsid w:val="00B8280B"/>
    <w:rsid w:val="00B8536B"/>
    <w:rsid w:val="00B856F4"/>
    <w:rsid w:val="00B9088C"/>
    <w:rsid w:val="00B90FD9"/>
    <w:rsid w:val="00B91234"/>
    <w:rsid w:val="00BA0A4E"/>
    <w:rsid w:val="00BA181E"/>
    <w:rsid w:val="00BA29C0"/>
    <w:rsid w:val="00BA370F"/>
    <w:rsid w:val="00BA4AEE"/>
    <w:rsid w:val="00BA5426"/>
    <w:rsid w:val="00BB0420"/>
    <w:rsid w:val="00BB27C0"/>
    <w:rsid w:val="00BB2E68"/>
    <w:rsid w:val="00BB3C89"/>
    <w:rsid w:val="00BB4F2A"/>
    <w:rsid w:val="00BB54E6"/>
    <w:rsid w:val="00BB6A23"/>
    <w:rsid w:val="00BB77D4"/>
    <w:rsid w:val="00BC2F70"/>
    <w:rsid w:val="00BD2EFC"/>
    <w:rsid w:val="00BD3DBF"/>
    <w:rsid w:val="00BD430E"/>
    <w:rsid w:val="00BD4E74"/>
    <w:rsid w:val="00BD6897"/>
    <w:rsid w:val="00BE0861"/>
    <w:rsid w:val="00BE10BF"/>
    <w:rsid w:val="00BE1ECE"/>
    <w:rsid w:val="00BE330B"/>
    <w:rsid w:val="00BE3612"/>
    <w:rsid w:val="00BE4EBF"/>
    <w:rsid w:val="00BE5A84"/>
    <w:rsid w:val="00BE74EE"/>
    <w:rsid w:val="00BF7A89"/>
    <w:rsid w:val="00C00A1E"/>
    <w:rsid w:val="00C01AE2"/>
    <w:rsid w:val="00C05072"/>
    <w:rsid w:val="00C06976"/>
    <w:rsid w:val="00C06FDF"/>
    <w:rsid w:val="00C103C6"/>
    <w:rsid w:val="00C10804"/>
    <w:rsid w:val="00C12C04"/>
    <w:rsid w:val="00C13992"/>
    <w:rsid w:val="00C17465"/>
    <w:rsid w:val="00C21728"/>
    <w:rsid w:val="00C25608"/>
    <w:rsid w:val="00C32F13"/>
    <w:rsid w:val="00C3591F"/>
    <w:rsid w:val="00C403A6"/>
    <w:rsid w:val="00C41780"/>
    <w:rsid w:val="00C424DB"/>
    <w:rsid w:val="00C42637"/>
    <w:rsid w:val="00C4336F"/>
    <w:rsid w:val="00C46BD7"/>
    <w:rsid w:val="00C47392"/>
    <w:rsid w:val="00C5540A"/>
    <w:rsid w:val="00C63322"/>
    <w:rsid w:val="00C642E0"/>
    <w:rsid w:val="00C64F71"/>
    <w:rsid w:val="00C7072C"/>
    <w:rsid w:val="00C708B6"/>
    <w:rsid w:val="00C71ADB"/>
    <w:rsid w:val="00C73DEB"/>
    <w:rsid w:val="00C74F51"/>
    <w:rsid w:val="00C756D2"/>
    <w:rsid w:val="00C7648F"/>
    <w:rsid w:val="00C77829"/>
    <w:rsid w:val="00C80869"/>
    <w:rsid w:val="00C811AC"/>
    <w:rsid w:val="00C853AD"/>
    <w:rsid w:val="00C8571C"/>
    <w:rsid w:val="00C86274"/>
    <w:rsid w:val="00C93EF2"/>
    <w:rsid w:val="00C95D43"/>
    <w:rsid w:val="00C963AA"/>
    <w:rsid w:val="00CA0E40"/>
    <w:rsid w:val="00CA1268"/>
    <w:rsid w:val="00CA31D6"/>
    <w:rsid w:val="00CA4C9C"/>
    <w:rsid w:val="00CB258E"/>
    <w:rsid w:val="00CB364C"/>
    <w:rsid w:val="00CB3CEA"/>
    <w:rsid w:val="00CB5E91"/>
    <w:rsid w:val="00CC3D4E"/>
    <w:rsid w:val="00CC5C76"/>
    <w:rsid w:val="00CC7C79"/>
    <w:rsid w:val="00CC7E88"/>
    <w:rsid w:val="00CD128D"/>
    <w:rsid w:val="00CD30D7"/>
    <w:rsid w:val="00CD5708"/>
    <w:rsid w:val="00CD5AB3"/>
    <w:rsid w:val="00CD69EA"/>
    <w:rsid w:val="00CD6BAE"/>
    <w:rsid w:val="00CE263F"/>
    <w:rsid w:val="00CE3788"/>
    <w:rsid w:val="00CE71A1"/>
    <w:rsid w:val="00CF19F1"/>
    <w:rsid w:val="00CF22A1"/>
    <w:rsid w:val="00CF2ED5"/>
    <w:rsid w:val="00CF39A9"/>
    <w:rsid w:val="00D02F70"/>
    <w:rsid w:val="00D03FD8"/>
    <w:rsid w:val="00D05371"/>
    <w:rsid w:val="00D0628E"/>
    <w:rsid w:val="00D106CF"/>
    <w:rsid w:val="00D10A66"/>
    <w:rsid w:val="00D10E13"/>
    <w:rsid w:val="00D11DA0"/>
    <w:rsid w:val="00D13709"/>
    <w:rsid w:val="00D17167"/>
    <w:rsid w:val="00D2237F"/>
    <w:rsid w:val="00D263F2"/>
    <w:rsid w:val="00D3083A"/>
    <w:rsid w:val="00D31C7D"/>
    <w:rsid w:val="00D33C80"/>
    <w:rsid w:val="00D351C7"/>
    <w:rsid w:val="00D36EE2"/>
    <w:rsid w:val="00D37CD1"/>
    <w:rsid w:val="00D40328"/>
    <w:rsid w:val="00D40C3A"/>
    <w:rsid w:val="00D4113B"/>
    <w:rsid w:val="00D41C4D"/>
    <w:rsid w:val="00D457A8"/>
    <w:rsid w:val="00D55F68"/>
    <w:rsid w:val="00D570DC"/>
    <w:rsid w:val="00D61402"/>
    <w:rsid w:val="00D61789"/>
    <w:rsid w:val="00D65E69"/>
    <w:rsid w:val="00D77071"/>
    <w:rsid w:val="00D81BA8"/>
    <w:rsid w:val="00D83148"/>
    <w:rsid w:val="00D836C8"/>
    <w:rsid w:val="00D86371"/>
    <w:rsid w:val="00D95622"/>
    <w:rsid w:val="00D964B7"/>
    <w:rsid w:val="00DA15D8"/>
    <w:rsid w:val="00DA3C3D"/>
    <w:rsid w:val="00DA7224"/>
    <w:rsid w:val="00DB34C8"/>
    <w:rsid w:val="00DB53C4"/>
    <w:rsid w:val="00DB62A8"/>
    <w:rsid w:val="00DB7223"/>
    <w:rsid w:val="00DC0C1E"/>
    <w:rsid w:val="00DC1F2F"/>
    <w:rsid w:val="00DC4ECF"/>
    <w:rsid w:val="00DC6558"/>
    <w:rsid w:val="00DD2680"/>
    <w:rsid w:val="00DD47F7"/>
    <w:rsid w:val="00DD4A64"/>
    <w:rsid w:val="00DD52A3"/>
    <w:rsid w:val="00DE201C"/>
    <w:rsid w:val="00DE21BE"/>
    <w:rsid w:val="00DE6184"/>
    <w:rsid w:val="00DF2FD4"/>
    <w:rsid w:val="00DF5C2E"/>
    <w:rsid w:val="00DF7A33"/>
    <w:rsid w:val="00E165B3"/>
    <w:rsid w:val="00E17974"/>
    <w:rsid w:val="00E20A2E"/>
    <w:rsid w:val="00E21C01"/>
    <w:rsid w:val="00E30C23"/>
    <w:rsid w:val="00E34A93"/>
    <w:rsid w:val="00E35FD2"/>
    <w:rsid w:val="00E406E5"/>
    <w:rsid w:val="00E42671"/>
    <w:rsid w:val="00E45147"/>
    <w:rsid w:val="00E452A7"/>
    <w:rsid w:val="00E47F22"/>
    <w:rsid w:val="00E5562E"/>
    <w:rsid w:val="00E62762"/>
    <w:rsid w:val="00E6357D"/>
    <w:rsid w:val="00E63F8B"/>
    <w:rsid w:val="00E63FE8"/>
    <w:rsid w:val="00E64DFE"/>
    <w:rsid w:val="00E661DD"/>
    <w:rsid w:val="00E676FE"/>
    <w:rsid w:val="00E702A7"/>
    <w:rsid w:val="00E725DB"/>
    <w:rsid w:val="00E75574"/>
    <w:rsid w:val="00E75BC0"/>
    <w:rsid w:val="00E75C54"/>
    <w:rsid w:val="00E77FF2"/>
    <w:rsid w:val="00E83377"/>
    <w:rsid w:val="00E86CBC"/>
    <w:rsid w:val="00E87921"/>
    <w:rsid w:val="00E95E9A"/>
    <w:rsid w:val="00EA0450"/>
    <w:rsid w:val="00EA1C4F"/>
    <w:rsid w:val="00EA2FEA"/>
    <w:rsid w:val="00EA301C"/>
    <w:rsid w:val="00EA7902"/>
    <w:rsid w:val="00EB17E1"/>
    <w:rsid w:val="00EB2EEA"/>
    <w:rsid w:val="00EB32FB"/>
    <w:rsid w:val="00EB3E34"/>
    <w:rsid w:val="00EB4177"/>
    <w:rsid w:val="00EB54CF"/>
    <w:rsid w:val="00EB5C0E"/>
    <w:rsid w:val="00EC587F"/>
    <w:rsid w:val="00ED5849"/>
    <w:rsid w:val="00EF266B"/>
    <w:rsid w:val="00EF36BE"/>
    <w:rsid w:val="00EF39EF"/>
    <w:rsid w:val="00EF491B"/>
    <w:rsid w:val="00EF6C34"/>
    <w:rsid w:val="00EF7EF8"/>
    <w:rsid w:val="00F010A3"/>
    <w:rsid w:val="00F03288"/>
    <w:rsid w:val="00F04807"/>
    <w:rsid w:val="00F05262"/>
    <w:rsid w:val="00F05F24"/>
    <w:rsid w:val="00F0760D"/>
    <w:rsid w:val="00F1296B"/>
    <w:rsid w:val="00F164AB"/>
    <w:rsid w:val="00F16A38"/>
    <w:rsid w:val="00F2099B"/>
    <w:rsid w:val="00F21B76"/>
    <w:rsid w:val="00F21EA4"/>
    <w:rsid w:val="00F22AC0"/>
    <w:rsid w:val="00F31C33"/>
    <w:rsid w:val="00F32EC5"/>
    <w:rsid w:val="00F346B3"/>
    <w:rsid w:val="00F34C38"/>
    <w:rsid w:val="00F34FD7"/>
    <w:rsid w:val="00F3543F"/>
    <w:rsid w:val="00F359ED"/>
    <w:rsid w:val="00F458C5"/>
    <w:rsid w:val="00F47914"/>
    <w:rsid w:val="00F55BF0"/>
    <w:rsid w:val="00F55D6E"/>
    <w:rsid w:val="00F662E8"/>
    <w:rsid w:val="00F66822"/>
    <w:rsid w:val="00F67512"/>
    <w:rsid w:val="00F729B9"/>
    <w:rsid w:val="00F731FB"/>
    <w:rsid w:val="00F736BE"/>
    <w:rsid w:val="00F75A45"/>
    <w:rsid w:val="00F7768D"/>
    <w:rsid w:val="00F812A4"/>
    <w:rsid w:val="00F84CF3"/>
    <w:rsid w:val="00F86182"/>
    <w:rsid w:val="00F86CBD"/>
    <w:rsid w:val="00F90EE1"/>
    <w:rsid w:val="00F94E23"/>
    <w:rsid w:val="00F955E6"/>
    <w:rsid w:val="00F96F18"/>
    <w:rsid w:val="00F97736"/>
    <w:rsid w:val="00F9794E"/>
    <w:rsid w:val="00FA1B22"/>
    <w:rsid w:val="00FA1E1F"/>
    <w:rsid w:val="00FA2B9D"/>
    <w:rsid w:val="00FA5ED5"/>
    <w:rsid w:val="00FB0781"/>
    <w:rsid w:val="00FB1B16"/>
    <w:rsid w:val="00FB71E4"/>
    <w:rsid w:val="00FC0737"/>
    <w:rsid w:val="00FC1212"/>
    <w:rsid w:val="00FC2D75"/>
    <w:rsid w:val="00FC424D"/>
    <w:rsid w:val="00FD0DBD"/>
    <w:rsid w:val="00FD18E0"/>
    <w:rsid w:val="00FD20B3"/>
    <w:rsid w:val="00FD3B07"/>
    <w:rsid w:val="00FD4800"/>
    <w:rsid w:val="00FD622D"/>
    <w:rsid w:val="00FD6D05"/>
    <w:rsid w:val="00FE2DF9"/>
    <w:rsid w:val="00FE4886"/>
    <w:rsid w:val="00FE63B0"/>
    <w:rsid w:val="00FF0D14"/>
    <w:rsid w:val="00FF391D"/>
    <w:rsid w:val="00FF599F"/>
    <w:rsid w:val="00FF5E18"/>
    <w:rsid w:val="00FF646C"/>
    <w:rsid w:val="01ED12FC"/>
    <w:rsid w:val="031112DD"/>
    <w:rsid w:val="045A6767"/>
    <w:rsid w:val="04A679A3"/>
    <w:rsid w:val="0523416B"/>
    <w:rsid w:val="054C677A"/>
    <w:rsid w:val="05E57574"/>
    <w:rsid w:val="067572F2"/>
    <w:rsid w:val="06AD639E"/>
    <w:rsid w:val="06EC66E0"/>
    <w:rsid w:val="0740253A"/>
    <w:rsid w:val="07940139"/>
    <w:rsid w:val="09763850"/>
    <w:rsid w:val="098B73D1"/>
    <w:rsid w:val="0A3B6C1F"/>
    <w:rsid w:val="0ACA076C"/>
    <w:rsid w:val="0B5B29A5"/>
    <w:rsid w:val="0B68215D"/>
    <w:rsid w:val="0EC323B4"/>
    <w:rsid w:val="0FC309FE"/>
    <w:rsid w:val="0FE74795"/>
    <w:rsid w:val="10560F07"/>
    <w:rsid w:val="1077391B"/>
    <w:rsid w:val="12123BB3"/>
    <w:rsid w:val="12BF3B17"/>
    <w:rsid w:val="132E65B1"/>
    <w:rsid w:val="15093E6E"/>
    <w:rsid w:val="16646981"/>
    <w:rsid w:val="167E1F31"/>
    <w:rsid w:val="170F4C05"/>
    <w:rsid w:val="19185113"/>
    <w:rsid w:val="1A402B62"/>
    <w:rsid w:val="1BA47A5B"/>
    <w:rsid w:val="1C172CE0"/>
    <w:rsid w:val="1D1D26DC"/>
    <w:rsid w:val="1DFC061D"/>
    <w:rsid w:val="1EB72402"/>
    <w:rsid w:val="1F454FD3"/>
    <w:rsid w:val="20E06E5E"/>
    <w:rsid w:val="22506829"/>
    <w:rsid w:val="22C309FB"/>
    <w:rsid w:val="258E5C3B"/>
    <w:rsid w:val="26EC22EE"/>
    <w:rsid w:val="27F34DBC"/>
    <w:rsid w:val="284B1061"/>
    <w:rsid w:val="28873745"/>
    <w:rsid w:val="2B0B0EB9"/>
    <w:rsid w:val="2B0B4AD7"/>
    <w:rsid w:val="2BFE41CE"/>
    <w:rsid w:val="2C223656"/>
    <w:rsid w:val="2E242006"/>
    <w:rsid w:val="2E2C63F6"/>
    <w:rsid w:val="30C23DBD"/>
    <w:rsid w:val="311D06BA"/>
    <w:rsid w:val="34932886"/>
    <w:rsid w:val="34ED05EF"/>
    <w:rsid w:val="35E623C9"/>
    <w:rsid w:val="35E63176"/>
    <w:rsid w:val="367F64DE"/>
    <w:rsid w:val="36E56B24"/>
    <w:rsid w:val="37CD6EC5"/>
    <w:rsid w:val="38700A83"/>
    <w:rsid w:val="389C7F90"/>
    <w:rsid w:val="3A725701"/>
    <w:rsid w:val="3AAD4EAF"/>
    <w:rsid w:val="3B013102"/>
    <w:rsid w:val="3B36645E"/>
    <w:rsid w:val="3BE865EF"/>
    <w:rsid w:val="3C991F43"/>
    <w:rsid w:val="3CBE316E"/>
    <w:rsid w:val="3EC011B1"/>
    <w:rsid w:val="3EEC511D"/>
    <w:rsid w:val="3EF47905"/>
    <w:rsid w:val="3F045DEA"/>
    <w:rsid w:val="3FB1136D"/>
    <w:rsid w:val="3FD209A4"/>
    <w:rsid w:val="40704882"/>
    <w:rsid w:val="40AA0BC3"/>
    <w:rsid w:val="41202C33"/>
    <w:rsid w:val="41B368AD"/>
    <w:rsid w:val="41C205F1"/>
    <w:rsid w:val="435E28C6"/>
    <w:rsid w:val="445B0426"/>
    <w:rsid w:val="45435514"/>
    <w:rsid w:val="456227B0"/>
    <w:rsid w:val="45C844D0"/>
    <w:rsid w:val="45F976FE"/>
    <w:rsid w:val="461C6C79"/>
    <w:rsid w:val="462A3742"/>
    <w:rsid w:val="478015E2"/>
    <w:rsid w:val="49033A49"/>
    <w:rsid w:val="4959279C"/>
    <w:rsid w:val="4AE6402F"/>
    <w:rsid w:val="4CED6468"/>
    <w:rsid w:val="4E4A226B"/>
    <w:rsid w:val="4EB1136E"/>
    <w:rsid w:val="4F565FD2"/>
    <w:rsid w:val="501B35BC"/>
    <w:rsid w:val="516528E4"/>
    <w:rsid w:val="525013A4"/>
    <w:rsid w:val="54FD69B2"/>
    <w:rsid w:val="55FD133D"/>
    <w:rsid w:val="5720124C"/>
    <w:rsid w:val="57875362"/>
    <w:rsid w:val="590560B8"/>
    <w:rsid w:val="59A1444F"/>
    <w:rsid w:val="5BB32FDF"/>
    <w:rsid w:val="5C3C15B7"/>
    <w:rsid w:val="5CA058DC"/>
    <w:rsid w:val="5CEC63B5"/>
    <w:rsid w:val="5D623CDA"/>
    <w:rsid w:val="5D8E1D85"/>
    <w:rsid w:val="5E003F8E"/>
    <w:rsid w:val="5FE56B04"/>
    <w:rsid w:val="60574D64"/>
    <w:rsid w:val="62514323"/>
    <w:rsid w:val="626C0FE7"/>
    <w:rsid w:val="62DB1199"/>
    <w:rsid w:val="62F009E0"/>
    <w:rsid w:val="63E54120"/>
    <w:rsid w:val="642A40F0"/>
    <w:rsid w:val="65D909B4"/>
    <w:rsid w:val="66E63727"/>
    <w:rsid w:val="67DF1BF8"/>
    <w:rsid w:val="697C07C6"/>
    <w:rsid w:val="699D6879"/>
    <w:rsid w:val="69C26193"/>
    <w:rsid w:val="6AA47B81"/>
    <w:rsid w:val="6BB74FF8"/>
    <w:rsid w:val="6CBC6348"/>
    <w:rsid w:val="6CC53190"/>
    <w:rsid w:val="6E274A83"/>
    <w:rsid w:val="6FE74798"/>
    <w:rsid w:val="70353FC6"/>
    <w:rsid w:val="70F32156"/>
    <w:rsid w:val="71A7124F"/>
    <w:rsid w:val="72A23870"/>
    <w:rsid w:val="72BD7362"/>
    <w:rsid w:val="7419177E"/>
    <w:rsid w:val="750A7ABF"/>
    <w:rsid w:val="752B1A97"/>
    <w:rsid w:val="767203A3"/>
    <w:rsid w:val="76997750"/>
    <w:rsid w:val="76E64362"/>
    <w:rsid w:val="77C55056"/>
    <w:rsid w:val="78321830"/>
    <w:rsid w:val="788259A6"/>
    <w:rsid w:val="79A74301"/>
    <w:rsid w:val="79A90FA3"/>
    <w:rsid w:val="79CF368F"/>
    <w:rsid w:val="79DE2B31"/>
    <w:rsid w:val="79E07FA5"/>
    <w:rsid w:val="7AA5772A"/>
    <w:rsid w:val="7BDF4EBD"/>
    <w:rsid w:val="7C5A4FC1"/>
    <w:rsid w:val="7CBE5D57"/>
    <w:rsid w:val="7D132D39"/>
    <w:rsid w:val="7DE10A4B"/>
    <w:rsid w:val="7E11216D"/>
    <w:rsid w:val="7EDF1820"/>
    <w:rsid w:val="7F7169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widowControl/>
      <w:spacing w:line="600" w:lineRule="exact"/>
      <w:ind w:firstLine="200" w:firstLineChars="200"/>
      <w:jc w:val="left"/>
      <w:outlineLvl w:val="0"/>
    </w:pPr>
    <w:rPr>
      <w:rFonts w:ascii="宋体" w:hAnsi="宋体" w:eastAsia="黑体" w:cs="宋体"/>
      <w:b/>
      <w:bCs/>
      <w:kern w:val="36"/>
      <w:sz w:val="32"/>
      <w:szCs w:val="4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semiHidden/>
    <w:unhideWhenUsed/>
    <w:qFormat/>
    <w:uiPriority w:val="99"/>
    <w:pPr>
      <w:jc w:val="left"/>
    </w:pPr>
  </w:style>
  <w:style w:type="paragraph" w:styleId="4">
    <w:name w:val="Balloon Text"/>
    <w:basedOn w:val="1"/>
    <w:link w:val="17"/>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semiHidden/>
    <w:unhideWhenUsed/>
    <w:qFormat/>
    <w:uiPriority w:val="99"/>
    <w:rPr>
      <w:b/>
      <w:bCs/>
    </w:rPr>
  </w:style>
  <w:style w:type="table" w:styleId="9">
    <w:name w:val="Table Grid"/>
    <w:basedOn w:val="8"/>
    <w:semiHidden/>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semiHidden/>
    <w:unhideWhenUsed/>
    <w:qFormat/>
    <w:uiPriority w:val="99"/>
    <w:rPr>
      <w:color w:val="0000FF"/>
      <w:u w:val="single"/>
    </w:rPr>
  </w:style>
  <w:style w:type="character" w:styleId="12">
    <w:name w:val="annotation reference"/>
    <w:basedOn w:val="10"/>
    <w:semiHidden/>
    <w:unhideWhenUsed/>
    <w:qFormat/>
    <w:uiPriority w:val="99"/>
    <w:rPr>
      <w:sz w:val="21"/>
      <w:szCs w:val="21"/>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table" w:customStyle="1" w:styleId="15">
    <w:name w:val="网格型1"/>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
    <w:name w:val="网格型2"/>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批注框文本 字符"/>
    <w:basedOn w:val="10"/>
    <w:link w:val="4"/>
    <w:semiHidden/>
    <w:qFormat/>
    <w:uiPriority w:val="99"/>
    <w:rPr>
      <w:sz w:val="18"/>
      <w:szCs w:val="18"/>
    </w:rPr>
  </w:style>
  <w:style w:type="character" w:customStyle="1" w:styleId="18">
    <w:name w:val="批注文字 字符"/>
    <w:basedOn w:val="10"/>
    <w:link w:val="3"/>
    <w:semiHidden/>
    <w:qFormat/>
    <w:uiPriority w:val="99"/>
  </w:style>
  <w:style w:type="character" w:customStyle="1" w:styleId="19">
    <w:name w:val="批注主题 字符"/>
    <w:basedOn w:val="18"/>
    <w:link w:val="7"/>
    <w:semiHidden/>
    <w:qFormat/>
    <w:uiPriority w:val="99"/>
    <w:rPr>
      <w:b/>
      <w:bCs/>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标题 1 字符"/>
    <w:basedOn w:val="10"/>
    <w:link w:val="2"/>
    <w:qFormat/>
    <w:uiPriority w:val="9"/>
    <w:rPr>
      <w:rFonts w:ascii="宋体" w:hAnsi="宋体" w:eastAsia="黑体" w:cs="宋体"/>
      <w:b/>
      <w:bCs/>
      <w:kern w:val="36"/>
      <w:sz w:val="32"/>
      <w:szCs w:val="48"/>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599F4-569D-4FBE-8CA5-E181991AF01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1174</Words>
  <Characters>6697</Characters>
  <Lines>55</Lines>
  <Paragraphs>15</Paragraphs>
  <TotalTime>4</TotalTime>
  <ScaleCrop>false</ScaleCrop>
  <LinksUpToDate>false</LinksUpToDate>
  <CharactersWithSpaces>7856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2021-02-08T00:12:00Z</dcterms:created>
  <dc:creator>duo duo</dc:creator>
  <cp:lastModifiedBy>龚波</cp:lastModifiedBy>
  <cp:lastPrinted>2023-05-31T02:42:00Z</cp:lastPrinted>
  <dcterms:modified xsi:type="dcterms:W3CDTF">2023-12-07T03:08:15Z</dcterms:modified>
  <cp:revision>301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FDA2DEE403994888A08643D89E8957D5_13</vt:lpwstr>
  </property>
</Properties>
</file>